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4FEE" w14:textId="77777777" w:rsidR="007529FD" w:rsidRPr="004B5048" w:rsidRDefault="007529FD" w:rsidP="007529FD">
      <w:pPr>
        <w:spacing w:before="100" w:beforeAutospacing="1" w:after="100" w:afterAutospacing="1" w:line="240" w:lineRule="auto"/>
        <w:rPr>
          <w:rFonts w:ascii="Arial" w:eastAsia="Times New Roman" w:hAnsi="Arial" w:cs="Arial"/>
          <w:color w:val="000000"/>
          <w:lang w:eastAsia="es-CO"/>
        </w:rPr>
      </w:pPr>
      <w:r w:rsidRPr="004B5048">
        <w:rPr>
          <w:rFonts w:ascii="Arial" w:eastAsia="Times New Roman" w:hAnsi="Arial" w:cs="Arial"/>
          <w:color w:val="000000"/>
          <w:lang w:eastAsia="es-CO"/>
        </w:rPr>
        <w:t>012100</w:t>
      </w:r>
    </w:p>
    <w:p w14:paraId="39F88AED" w14:textId="584C3648" w:rsidR="007529FD" w:rsidRPr="004B5048" w:rsidRDefault="007529FD" w:rsidP="007529FD">
      <w:pPr>
        <w:spacing w:after="0" w:line="240" w:lineRule="auto"/>
        <w:rPr>
          <w:rFonts w:ascii="Arial" w:eastAsia="Times New Roman" w:hAnsi="Arial" w:cs="Arial"/>
          <w:color w:val="000000"/>
          <w:lang w:eastAsia="es-CO"/>
        </w:rPr>
      </w:pPr>
      <w:r w:rsidRPr="004B5048">
        <w:rPr>
          <w:rFonts w:ascii="Arial" w:eastAsia="Times New Roman" w:hAnsi="Arial" w:cs="Arial"/>
          <w:color w:val="000000"/>
          <w:lang w:eastAsia="es-CO"/>
        </w:rPr>
        <w:t>Bogotá D.C.</w:t>
      </w:r>
    </w:p>
    <w:p w14:paraId="7ECB40DE" w14:textId="77777777" w:rsidR="007755AA" w:rsidRPr="004B5048" w:rsidRDefault="007755AA" w:rsidP="007529FD">
      <w:pPr>
        <w:spacing w:after="0" w:line="240" w:lineRule="auto"/>
        <w:rPr>
          <w:rFonts w:ascii="Arial" w:eastAsia="Times New Roman" w:hAnsi="Arial" w:cs="Arial"/>
          <w:color w:val="000000"/>
          <w:lang w:eastAsia="es-CO"/>
        </w:rPr>
      </w:pPr>
    </w:p>
    <w:p w14:paraId="27135C07" w14:textId="75D5FD29" w:rsidR="007529FD" w:rsidRPr="004B5048" w:rsidRDefault="00331205" w:rsidP="007529FD">
      <w:pPr>
        <w:spacing w:after="0" w:line="240" w:lineRule="auto"/>
        <w:rPr>
          <w:rFonts w:ascii="Arial" w:eastAsia="Times New Roman" w:hAnsi="Arial" w:cs="Arial"/>
          <w:color w:val="000000"/>
          <w:lang w:eastAsia="es-CO"/>
        </w:rPr>
      </w:pPr>
      <w:r w:rsidRPr="004B5048">
        <w:rPr>
          <w:rFonts w:ascii="Arial" w:eastAsia="Times New Roman" w:hAnsi="Arial" w:cs="Arial"/>
          <w:color w:val="000000"/>
          <w:lang w:eastAsia="es-CO"/>
        </w:rPr>
        <w:t>Honorable</w:t>
      </w:r>
      <w:r w:rsidR="007529FD" w:rsidRPr="004B5048">
        <w:rPr>
          <w:rFonts w:ascii="Arial" w:eastAsia="Times New Roman" w:hAnsi="Arial" w:cs="Arial"/>
          <w:color w:val="000000"/>
          <w:lang w:eastAsia="es-CO"/>
        </w:rPr>
        <w:t xml:space="preserve"> Juez</w:t>
      </w:r>
      <w:r w:rsidR="004B5048" w:rsidRPr="004B5048">
        <w:rPr>
          <w:rFonts w:ascii="Arial" w:eastAsia="Times New Roman" w:hAnsi="Arial" w:cs="Arial"/>
          <w:color w:val="000000"/>
          <w:lang w:eastAsia="es-CO"/>
        </w:rPr>
        <w:t>a</w:t>
      </w:r>
    </w:p>
    <w:p w14:paraId="222A65A4" w14:textId="5881C27D" w:rsidR="002B474C" w:rsidRPr="004B5048" w:rsidRDefault="004B5048" w:rsidP="002B474C">
      <w:pPr>
        <w:spacing w:after="0" w:line="240" w:lineRule="auto"/>
        <w:rPr>
          <w:rFonts w:ascii="Arial" w:eastAsia="Times New Roman" w:hAnsi="Arial" w:cs="Arial"/>
          <w:b/>
          <w:bCs/>
          <w:color w:val="000000"/>
          <w:lang w:eastAsia="es-CO"/>
        </w:rPr>
      </w:pPr>
      <w:r w:rsidRPr="004B5048">
        <w:rPr>
          <w:rFonts w:ascii="Arial" w:eastAsia="Times New Roman" w:hAnsi="Arial" w:cs="Arial"/>
          <w:b/>
          <w:bCs/>
          <w:color w:val="000000"/>
          <w:lang w:eastAsia="es-CO"/>
        </w:rPr>
        <w:t>DIANA GARCÍA MOSQUERA</w:t>
      </w:r>
    </w:p>
    <w:p w14:paraId="0DE546E8" w14:textId="71C34FA0" w:rsidR="002B474C" w:rsidRPr="004B5048" w:rsidRDefault="00254066" w:rsidP="002B474C">
      <w:pPr>
        <w:spacing w:after="0" w:line="240" w:lineRule="auto"/>
        <w:rPr>
          <w:rFonts w:ascii="Arial" w:hAnsi="Arial" w:cs="Arial"/>
          <w:color w:val="000000"/>
        </w:rPr>
      </w:pPr>
      <w:r w:rsidRPr="004B5048">
        <w:rPr>
          <w:rFonts w:ascii="Arial" w:hAnsi="Arial" w:cs="Arial"/>
          <w:color w:val="000000"/>
        </w:rPr>
        <w:t>Juzgado</w:t>
      </w:r>
      <w:r w:rsidR="003E4DD4" w:rsidRPr="004B5048">
        <w:rPr>
          <w:rFonts w:ascii="Arial" w:hAnsi="Arial" w:cs="Arial"/>
          <w:color w:val="000000"/>
        </w:rPr>
        <w:t xml:space="preserve"> </w:t>
      </w:r>
      <w:r w:rsidR="004B5048" w:rsidRPr="004B5048">
        <w:rPr>
          <w:rFonts w:ascii="Arial" w:hAnsi="Arial" w:cs="Arial"/>
          <w:color w:val="000000"/>
        </w:rPr>
        <w:t xml:space="preserve">24 </w:t>
      </w:r>
      <w:r w:rsidR="005A1BD8" w:rsidRPr="004B5048">
        <w:rPr>
          <w:rFonts w:ascii="Arial" w:hAnsi="Arial" w:cs="Arial"/>
          <w:color w:val="000000"/>
        </w:rPr>
        <w:t>Civil Municipal</w:t>
      </w:r>
      <w:r w:rsidR="004B5048" w:rsidRPr="004B5048">
        <w:rPr>
          <w:rFonts w:ascii="Arial" w:hAnsi="Arial" w:cs="Arial"/>
          <w:color w:val="000000"/>
        </w:rPr>
        <w:t xml:space="preserve"> de Pequeñas Causas y Competencia Múltiple</w:t>
      </w:r>
      <w:r w:rsidR="00655A3D" w:rsidRPr="004B5048">
        <w:rPr>
          <w:rFonts w:ascii="Arial" w:hAnsi="Arial" w:cs="Arial"/>
          <w:color w:val="000000"/>
        </w:rPr>
        <w:t xml:space="preserve"> de Bogotá, D.C.</w:t>
      </w:r>
    </w:p>
    <w:p w14:paraId="175525DC" w14:textId="22901E40" w:rsidR="007529FD" w:rsidRPr="004B5048" w:rsidRDefault="007529FD" w:rsidP="002B474C">
      <w:pPr>
        <w:spacing w:after="0" w:line="240" w:lineRule="auto"/>
        <w:rPr>
          <w:rFonts w:ascii="Arial" w:eastAsia="Times New Roman" w:hAnsi="Arial" w:cs="Arial"/>
          <w:color w:val="000000"/>
          <w:lang w:eastAsia="es-CO"/>
        </w:rPr>
      </w:pPr>
      <w:r w:rsidRPr="004B5048">
        <w:rPr>
          <w:rFonts w:ascii="Arial" w:eastAsia="Times New Roman" w:hAnsi="Arial" w:cs="Arial"/>
          <w:color w:val="000000"/>
          <w:lang w:eastAsia="es-CO"/>
        </w:rPr>
        <w:t>Ciudad</w:t>
      </w:r>
    </w:p>
    <w:p w14:paraId="63FFEBD7" w14:textId="77777777" w:rsidR="007529FD" w:rsidRPr="004B5048" w:rsidRDefault="007529FD" w:rsidP="007529FD">
      <w:pPr>
        <w:spacing w:after="0" w:line="240" w:lineRule="auto"/>
        <w:rPr>
          <w:rFonts w:ascii="Arial" w:eastAsia="Times New Roman" w:hAnsi="Arial" w:cs="Arial"/>
          <w:color w:val="000000"/>
          <w:lang w:eastAsia="es-CO"/>
        </w:rPr>
      </w:pPr>
    </w:p>
    <w:p w14:paraId="7C9DE6A9" w14:textId="68CE6C41" w:rsidR="00956459" w:rsidRPr="004B5048" w:rsidRDefault="007529FD" w:rsidP="00956459">
      <w:pPr>
        <w:pStyle w:val="Default"/>
        <w:rPr>
          <w:sz w:val="22"/>
          <w:szCs w:val="22"/>
        </w:rPr>
      </w:pPr>
      <w:r w:rsidRPr="004B5048">
        <w:rPr>
          <w:rFonts w:eastAsia="Times New Roman"/>
          <w:sz w:val="22"/>
          <w:szCs w:val="22"/>
          <w:lang w:eastAsia="es-CO"/>
        </w:rPr>
        <w:t xml:space="preserve">Asunto: </w:t>
      </w:r>
      <w:r w:rsidRPr="004B5048">
        <w:rPr>
          <w:rFonts w:eastAsia="Times New Roman"/>
          <w:sz w:val="22"/>
          <w:szCs w:val="22"/>
          <w:lang w:eastAsia="es-CO"/>
        </w:rPr>
        <w:tab/>
      </w:r>
      <w:r w:rsidRPr="004B5048">
        <w:rPr>
          <w:rFonts w:eastAsia="Times New Roman"/>
          <w:b/>
          <w:bCs/>
          <w:sz w:val="22"/>
          <w:szCs w:val="22"/>
          <w:lang w:eastAsia="es-CO"/>
        </w:rPr>
        <w:t xml:space="preserve">Acción de tutela No. </w:t>
      </w:r>
      <w:r w:rsidR="00254066" w:rsidRPr="004B5048">
        <w:rPr>
          <w:b/>
          <w:bCs/>
          <w:sz w:val="22"/>
          <w:szCs w:val="22"/>
        </w:rPr>
        <w:t>202</w:t>
      </w:r>
      <w:r w:rsidR="005A1BD8" w:rsidRPr="004B5048">
        <w:rPr>
          <w:b/>
          <w:bCs/>
          <w:sz w:val="22"/>
          <w:szCs w:val="22"/>
        </w:rPr>
        <w:t>6</w:t>
      </w:r>
      <w:r w:rsidR="00254066" w:rsidRPr="004B5048">
        <w:rPr>
          <w:b/>
          <w:bCs/>
          <w:sz w:val="22"/>
          <w:szCs w:val="22"/>
        </w:rPr>
        <w:t>-</w:t>
      </w:r>
      <w:r w:rsidR="004B5048" w:rsidRPr="004B5048">
        <w:rPr>
          <w:b/>
          <w:bCs/>
          <w:sz w:val="22"/>
          <w:szCs w:val="22"/>
        </w:rPr>
        <w:t>00878</w:t>
      </w:r>
      <w:r w:rsidR="003E4DD4" w:rsidRPr="004B5048">
        <w:rPr>
          <w:b/>
          <w:bCs/>
          <w:sz w:val="22"/>
          <w:szCs w:val="22"/>
        </w:rPr>
        <w:t>-00</w:t>
      </w:r>
    </w:p>
    <w:p w14:paraId="7EF55C20" w14:textId="3AB0FB37" w:rsidR="002B474C" w:rsidRPr="004B5048" w:rsidRDefault="007529FD" w:rsidP="00956459">
      <w:pPr>
        <w:spacing w:after="0" w:line="240" w:lineRule="auto"/>
        <w:rPr>
          <w:rFonts w:ascii="Arial" w:hAnsi="Arial" w:cs="Arial"/>
          <w:b/>
          <w:bCs/>
        </w:rPr>
      </w:pPr>
      <w:r w:rsidRPr="004B5048">
        <w:rPr>
          <w:rFonts w:ascii="Arial" w:eastAsia="Times New Roman" w:hAnsi="Arial" w:cs="Arial"/>
          <w:color w:val="000000"/>
          <w:lang w:eastAsia="es-CO"/>
        </w:rPr>
        <w:t xml:space="preserve">Accionante: </w:t>
      </w:r>
      <w:r w:rsidRPr="004B5048">
        <w:rPr>
          <w:rFonts w:ascii="Arial" w:eastAsia="Times New Roman" w:hAnsi="Arial" w:cs="Arial"/>
          <w:color w:val="000000"/>
          <w:lang w:eastAsia="es-CO"/>
        </w:rPr>
        <w:tab/>
      </w:r>
      <w:r w:rsidR="004B5048" w:rsidRPr="004B5048">
        <w:rPr>
          <w:rFonts w:ascii="Arial" w:eastAsia="Times New Roman" w:hAnsi="Arial" w:cs="Arial"/>
          <w:b/>
          <w:color w:val="000000"/>
          <w:lang w:eastAsia="es-CO"/>
        </w:rPr>
        <w:t>José Luís Demetrio Celis Romero</w:t>
      </w:r>
      <w:r w:rsidR="00331205" w:rsidRPr="004B5048">
        <w:rPr>
          <w:rFonts w:ascii="Arial" w:eastAsia="Times New Roman" w:hAnsi="Arial" w:cs="Arial"/>
          <w:b/>
          <w:color w:val="000000"/>
          <w:lang w:eastAsia="es-CO"/>
        </w:rPr>
        <w:t xml:space="preserve"> </w:t>
      </w:r>
    </w:p>
    <w:p w14:paraId="26EA3715" w14:textId="48550862" w:rsidR="007529FD" w:rsidRPr="004B5048" w:rsidRDefault="007529FD" w:rsidP="007755AA">
      <w:pPr>
        <w:pStyle w:val="Default"/>
        <w:ind w:left="1418" w:hanging="1418"/>
        <w:jc w:val="both"/>
        <w:rPr>
          <w:rFonts w:eastAsia="Times New Roman"/>
          <w:b/>
          <w:bCs/>
          <w:sz w:val="22"/>
          <w:szCs w:val="22"/>
          <w:lang w:eastAsia="es-CO"/>
        </w:rPr>
      </w:pPr>
      <w:r w:rsidRPr="004B5048">
        <w:rPr>
          <w:rFonts w:eastAsia="Times New Roman"/>
          <w:sz w:val="22"/>
          <w:szCs w:val="22"/>
          <w:lang w:eastAsia="es-CO"/>
        </w:rPr>
        <w:t xml:space="preserve">Accionada: </w:t>
      </w:r>
      <w:r w:rsidR="003E4DD4" w:rsidRPr="004B5048">
        <w:rPr>
          <w:rFonts w:eastAsia="Times New Roman"/>
          <w:sz w:val="22"/>
          <w:szCs w:val="22"/>
          <w:lang w:eastAsia="es-CO"/>
        </w:rPr>
        <w:tab/>
      </w:r>
      <w:r w:rsidR="004B5048" w:rsidRPr="004B5048">
        <w:rPr>
          <w:rFonts w:eastAsia="Times New Roman"/>
          <w:b/>
          <w:bCs/>
          <w:sz w:val="22"/>
          <w:szCs w:val="22"/>
          <w:lang w:eastAsia="es-CO"/>
        </w:rPr>
        <w:t>Empresa de Acueducto y Alcantarillado de Bogotá, D.C. E.S.P. - EAAB</w:t>
      </w:r>
    </w:p>
    <w:p w14:paraId="39A506AE" w14:textId="77777777" w:rsidR="00956459" w:rsidRPr="004B5048" w:rsidRDefault="00956459" w:rsidP="00DA2EC6">
      <w:pPr>
        <w:pStyle w:val="Default"/>
        <w:rPr>
          <w:rFonts w:eastAsia="Times New Roman"/>
          <w:sz w:val="22"/>
          <w:szCs w:val="22"/>
          <w:lang w:eastAsia="es-CO"/>
        </w:rPr>
      </w:pPr>
    </w:p>
    <w:p w14:paraId="7B5732F7" w14:textId="77777777" w:rsidR="00F24916" w:rsidRPr="004B5048" w:rsidRDefault="00F24916" w:rsidP="007529FD">
      <w:pPr>
        <w:spacing w:after="0" w:line="240" w:lineRule="auto"/>
        <w:rPr>
          <w:rFonts w:ascii="Arial" w:eastAsia="Times New Roman" w:hAnsi="Arial" w:cs="Arial"/>
          <w:color w:val="000000"/>
          <w:lang w:eastAsia="es-CO"/>
        </w:rPr>
      </w:pPr>
    </w:p>
    <w:p w14:paraId="51B5CD1D" w14:textId="43D7EE12" w:rsidR="007529FD" w:rsidRPr="004B5048" w:rsidRDefault="002B474C" w:rsidP="007529FD">
      <w:pPr>
        <w:spacing w:after="0" w:line="240" w:lineRule="auto"/>
        <w:rPr>
          <w:rFonts w:ascii="Arial" w:eastAsia="Times New Roman" w:hAnsi="Arial" w:cs="Arial"/>
          <w:color w:val="000000"/>
          <w:lang w:eastAsia="es-CO"/>
        </w:rPr>
      </w:pPr>
      <w:r w:rsidRPr="004B5048">
        <w:rPr>
          <w:rFonts w:ascii="Arial" w:eastAsia="Times New Roman" w:hAnsi="Arial" w:cs="Arial"/>
          <w:color w:val="000000"/>
          <w:lang w:eastAsia="es-CO"/>
        </w:rPr>
        <w:t>Respetad</w:t>
      </w:r>
      <w:r w:rsidR="004B5048" w:rsidRPr="004B5048">
        <w:rPr>
          <w:rFonts w:ascii="Arial" w:eastAsia="Times New Roman" w:hAnsi="Arial" w:cs="Arial"/>
          <w:color w:val="000000"/>
          <w:lang w:eastAsia="es-CO"/>
        </w:rPr>
        <w:t>a</w:t>
      </w:r>
      <w:r w:rsidR="007529FD" w:rsidRPr="004B5048">
        <w:rPr>
          <w:rFonts w:ascii="Arial" w:eastAsia="Times New Roman" w:hAnsi="Arial" w:cs="Arial"/>
          <w:color w:val="000000"/>
          <w:lang w:eastAsia="es-CO"/>
        </w:rPr>
        <w:t xml:space="preserve"> señor</w:t>
      </w:r>
      <w:r w:rsidR="004B5048" w:rsidRPr="004B5048">
        <w:rPr>
          <w:rFonts w:ascii="Arial" w:eastAsia="Times New Roman" w:hAnsi="Arial" w:cs="Arial"/>
          <w:color w:val="000000"/>
          <w:lang w:eastAsia="es-CO"/>
        </w:rPr>
        <w:t>a</w:t>
      </w:r>
      <w:r w:rsidR="007529FD" w:rsidRPr="004B5048">
        <w:rPr>
          <w:rFonts w:ascii="Arial" w:eastAsia="Times New Roman" w:hAnsi="Arial" w:cs="Arial"/>
          <w:color w:val="000000"/>
          <w:lang w:eastAsia="es-CO"/>
        </w:rPr>
        <w:t xml:space="preserve"> </w:t>
      </w:r>
      <w:r w:rsidR="00254066" w:rsidRPr="004B5048">
        <w:rPr>
          <w:rFonts w:ascii="Arial" w:eastAsia="Times New Roman" w:hAnsi="Arial" w:cs="Arial"/>
          <w:color w:val="000000"/>
          <w:lang w:eastAsia="es-CO"/>
        </w:rPr>
        <w:t>Juez</w:t>
      </w:r>
      <w:r w:rsidR="004B5048" w:rsidRPr="004B5048">
        <w:rPr>
          <w:rFonts w:ascii="Arial" w:eastAsia="Times New Roman" w:hAnsi="Arial" w:cs="Arial"/>
          <w:color w:val="000000"/>
          <w:lang w:eastAsia="es-CO"/>
        </w:rPr>
        <w:t>a</w:t>
      </w:r>
      <w:r w:rsidR="00254066" w:rsidRPr="004B5048">
        <w:rPr>
          <w:rFonts w:ascii="Arial" w:eastAsia="Times New Roman" w:hAnsi="Arial" w:cs="Arial"/>
          <w:color w:val="000000"/>
          <w:lang w:eastAsia="es-CO"/>
        </w:rPr>
        <w:t xml:space="preserve">: </w:t>
      </w:r>
    </w:p>
    <w:p w14:paraId="681E8BF8" w14:textId="77777777" w:rsidR="00844C11" w:rsidRPr="004B5048" w:rsidRDefault="00844C11" w:rsidP="007529FD">
      <w:pPr>
        <w:spacing w:after="0" w:line="240" w:lineRule="auto"/>
        <w:jc w:val="center"/>
        <w:rPr>
          <w:rFonts w:ascii="Arial" w:eastAsia="Times New Roman" w:hAnsi="Arial" w:cs="Arial"/>
          <w:b/>
          <w:bCs/>
          <w:color w:val="000000"/>
          <w:lang w:eastAsia="es-CO"/>
        </w:rPr>
      </w:pPr>
    </w:p>
    <w:p w14:paraId="468AADD9" w14:textId="70397A87" w:rsidR="007529FD" w:rsidRPr="004B5048" w:rsidRDefault="007529FD" w:rsidP="007529FD">
      <w:pPr>
        <w:spacing w:after="0" w:line="240" w:lineRule="auto"/>
        <w:jc w:val="center"/>
        <w:rPr>
          <w:rFonts w:ascii="Arial" w:eastAsia="Times New Roman" w:hAnsi="Arial" w:cs="Arial"/>
          <w:b/>
          <w:bCs/>
          <w:color w:val="000000"/>
          <w:u w:val="single"/>
          <w:lang w:eastAsia="es-CO"/>
        </w:rPr>
      </w:pPr>
      <w:r w:rsidRPr="004B5048">
        <w:rPr>
          <w:rFonts w:ascii="Arial" w:eastAsia="Times New Roman" w:hAnsi="Arial" w:cs="Arial"/>
          <w:b/>
          <w:bCs/>
          <w:color w:val="000000"/>
          <w:u w:val="single"/>
          <w:lang w:eastAsia="es-CO"/>
        </w:rPr>
        <w:t>CONSIDERACIONES</w:t>
      </w:r>
    </w:p>
    <w:p w14:paraId="7426EFE5" w14:textId="77777777" w:rsidR="007529FD" w:rsidRPr="00F82540" w:rsidRDefault="007529FD" w:rsidP="00AC4E0B">
      <w:pPr>
        <w:pStyle w:val="NormalWeb"/>
        <w:shd w:val="clear" w:color="auto" w:fill="FFFFFF"/>
        <w:spacing w:before="0" w:beforeAutospacing="0" w:after="0" w:afterAutospacing="0"/>
        <w:jc w:val="center"/>
        <w:rPr>
          <w:rFonts w:ascii="Arial" w:hAnsi="Arial" w:cs="Arial"/>
          <w:b/>
          <w:color w:val="000000"/>
          <w:bdr w:val="none" w:sz="0" w:space="0" w:color="auto" w:frame="1"/>
        </w:rPr>
      </w:pPr>
    </w:p>
    <w:p w14:paraId="1C759640" w14:textId="044F7CD8"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 xml:space="preserve">De conformidad con el artículo 23 y 85 del Acuerdo 257 de 2006 expedido por el Concejo de Bogotá D.C., “Por el cual se dictan normas básicas sobre la estructura, organización y funcionamiento de los organismos y de las entidades de Bogotá, Distrito Capital, y se expiden otras disposiciones”, en concordancia con el artículo </w:t>
      </w:r>
      <w:r w:rsidR="00837A1A" w:rsidRPr="00EE6E08">
        <w:rPr>
          <w:rFonts w:ascii="Arial" w:eastAsia="Times New Roman" w:hAnsi="Arial" w:cs="Arial"/>
          <w:color w:val="000000"/>
          <w:lang w:eastAsia="es-CO"/>
        </w:rPr>
        <w:t>3</w:t>
      </w:r>
      <w:r w:rsidRPr="00EE6E08">
        <w:rPr>
          <w:rFonts w:ascii="Arial" w:eastAsia="Times New Roman" w:hAnsi="Arial" w:cs="Arial"/>
          <w:color w:val="000000"/>
          <w:lang w:eastAsia="es-CO"/>
        </w:rPr>
        <w:t xml:space="preserve">º del Decreto Distrital </w:t>
      </w:r>
      <w:r w:rsidR="00837A1A" w:rsidRPr="00EE6E08">
        <w:rPr>
          <w:rFonts w:ascii="Arial" w:eastAsia="Times New Roman" w:hAnsi="Arial" w:cs="Arial"/>
          <w:color w:val="000000"/>
          <w:lang w:eastAsia="es-CO"/>
        </w:rPr>
        <w:t>641</w:t>
      </w:r>
      <w:r w:rsidRPr="00EE6E08">
        <w:rPr>
          <w:rFonts w:ascii="Arial" w:eastAsia="Times New Roman" w:hAnsi="Arial" w:cs="Arial"/>
          <w:color w:val="000000"/>
          <w:lang w:eastAsia="es-CO"/>
        </w:rPr>
        <w:t xml:space="preserve"> de </w:t>
      </w:r>
      <w:r w:rsidR="00837A1A" w:rsidRPr="00EE6E08">
        <w:rPr>
          <w:rFonts w:ascii="Arial" w:eastAsia="Times New Roman" w:hAnsi="Arial" w:cs="Arial"/>
          <w:color w:val="000000"/>
          <w:lang w:eastAsia="es-CO"/>
        </w:rPr>
        <w:t>2025,</w:t>
      </w:r>
      <w:r w:rsidRPr="00EE6E08">
        <w:rPr>
          <w:rFonts w:ascii="Arial" w:eastAsia="Times New Roman" w:hAnsi="Arial" w:cs="Arial"/>
          <w:color w:val="000000"/>
          <w:lang w:eastAsia="es-CO"/>
        </w:rPr>
        <w:t xml:space="preserve"> </w:t>
      </w:r>
      <w:r w:rsidR="00837A1A" w:rsidRPr="00EE6E08">
        <w:rPr>
          <w:rFonts w:ascii="Arial" w:eastAsia="Times New Roman" w:hAnsi="Arial" w:cs="Arial"/>
          <w:i/>
          <w:iCs/>
          <w:color w:val="000000"/>
          <w:lang w:eastAsia="es-CO"/>
        </w:rPr>
        <w:t>“Por medio del cual se expide el Decreto Único del Sector Salud”</w:t>
      </w:r>
      <w:r w:rsidR="00837A1A" w:rsidRPr="00EE6E08">
        <w:rPr>
          <w:rFonts w:ascii="Arial" w:eastAsia="Times New Roman" w:hAnsi="Arial" w:cs="Arial"/>
          <w:color w:val="000000"/>
          <w:lang w:eastAsia="es-CO"/>
        </w:rPr>
        <w:t xml:space="preserve">, </w:t>
      </w:r>
      <w:r w:rsidRPr="00EE6E08">
        <w:rPr>
          <w:rFonts w:ascii="Arial" w:eastAsia="Times New Roman" w:hAnsi="Arial" w:cs="Arial"/>
          <w:color w:val="000000"/>
          <w:lang w:eastAsia="es-CO"/>
        </w:rPr>
        <w:t>la Secretaría Distrital de Salud –SDS– es un organismo del Sector Central, la cual tiene por objeto orientar y liderar la formulación, adaptación, adopción e implementación de políticas, planes, programas, proyectos y estrategias conducentes a garantizar el derecho a la salud de los habitantes del Distrito Capital.</w:t>
      </w:r>
    </w:p>
    <w:p w14:paraId="6611E532"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5792A819" w14:textId="50AB9E59" w:rsidR="00331205" w:rsidRPr="00EE6E08" w:rsidRDefault="00837A1A"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El artículo 4</w:t>
      </w:r>
      <w:r w:rsidR="00331205" w:rsidRPr="00EE6E08">
        <w:rPr>
          <w:rFonts w:ascii="Arial" w:eastAsia="Times New Roman" w:hAnsi="Arial" w:cs="Arial"/>
          <w:color w:val="000000"/>
          <w:lang w:eastAsia="es-CO"/>
        </w:rPr>
        <w:t xml:space="preserve">º del citado Decreto Distrital </w:t>
      </w:r>
      <w:r w:rsidRPr="00EE6E08">
        <w:rPr>
          <w:rFonts w:ascii="Arial" w:eastAsia="Times New Roman" w:hAnsi="Arial" w:cs="Arial"/>
          <w:color w:val="000000"/>
          <w:lang w:eastAsia="es-CO"/>
        </w:rPr>
        <w:t>641</w:t>
      </w:r>
      <w:r w:rsidR="00331205" w:rsidRPr="00EE6E08">
        <w:rPr>
          <w:rFonts w:ascii="Arial" w:eastAsia="Times New Roman" w:hAnsi="Arial" w:cs="Arial"/>
          <w:color w:val="000000"/>
          <w:lang w:eastAsia="es-CO"/>
        </w:rPr>
        <w:t xml:space="preserve"> de </w:t>
      </w:r>
      <w:r w:rsidRPr="00EE6E08">
        <w:rPr>
          <w:rFonts w:ascii="Arial" w:eastAsia="Times New Roman" w:hAnsi="Arial" w:cs="Arial"/>
          <w:color w:val="000000"/>
          <w:lang w:eastAsia="es-CO"/>
        </w:rPr>
        <w:t>2025</w:t>
      </w:r>
      <w:r w:rsidR="00331205" w:rsidRPr="00EE6E08">
        <w:rPr>
          <w:rFonts w:ascii="Arial" w:eastAsia="Times New Roman" w:hAnsi="Arial" w:cs="Arial"/>
          <w:color w:val="000000"/>
          <w:lang w:eastAsia="es-CO"/>
        </w:rPr>
        <w:t xml:space="preserve"> establece que a la Secretaría Distrital de Salud corresponde ejercer las siguientes funciones generales:</w:t>
      </w:r>
    </w:p>
    <w:p w14:paraId="3047A75E"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030BC074" w14:textId="77777777" w:rsidR="00837A1A" w:rsidRPr="00EE6E08" w:rsidRDefault="00331205"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Fonts w:ascii="Arial" w:hAnsi="Arial" w:cs="Arial"/>
          <w:i/>
          <w:iCs/>
          <w:color w:val="000000"/>
          <w:sz w:val="22"/>
          <w:szCs w:val="22"/>
        </w:rPr>
        <w:t>“</w:t>
      </w:r>
      <w:r w:rsidR="00837A1A" w:rsidRPr="00EE6E08">
        <w:rPr>
          <w:rStyle w:val="ninguno"/>
          <w:rFonts w:ascii="Arial" w:hAnsi="Arial" w:cs="Arial"/>
          <w:i/>
          <w:iCs/>
          <w:sz w:val="22"/>
          <w:szCs w:val="22"/>
          <w:bdr w:val="none" w:sz="0" w:space="0" w:color="auto" w:frame="1"/>
        </w:rPr>
        <w:t>1. Formular, ejecutar y evaluar las políticas, estrategias, planes, programas y proyectos del sector salud y del Sistema General de Seguridad Social en Salud de conformidad con las disposiciones legales.</w:t>
      </w:r>
    </w:p>
    <w:p w14:paraId="74E2E14D"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3EEA4BE6" w14:textId="0DF6F339"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“2. Dirigir, coordinar, vigilar y controlar el sector salud y el Sistema General de Seguridad Social en Salud en Bogotá, D.C.</w:t>
      </w:r>
    </w:p>
    <w:p w14:paraId="3D6E89F3"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54AF0F7C" w14:textId="0D20413C"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“3. Vigilar y controlar el cumplimiento de las políticas y normas técnicas, científicas y administrativas que expida el Ministerio de Salud y de la Protección Social, para garantizar el logro de las metas del sector salud y del Sistema General de Seguridad Social en Salud, sin perjuicio de las funciones de inspección, vigilancia y control atribuidas a las demás autoridades competentes.</w:t>
      </w:r>
    </w:p>
    <w:p w14:paraId="5AF1EA94"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0DC10423" w14:textId="383771AF"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“4. Administrar, controlar y supervisar los recursos propios, los cedidos por la Nación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14:paraId="40C87A6C"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660D548D" w14:textId="1860B6D4"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lastRenderedPageBreak/>
        <w:t>“5. Gestionar y prestar los servicios de salud prioritariamente a través de su red adscrita, de manera oportuna, eficiente y con calidad a la población pobre no asegurada que resida en su jurisdicción, en lo no cubierto con subsidios a la demanda.</w:t>
      </w:r>
    </w:p>
    <w:p w14:paraId="2871A4D4"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2ACD194E" w14:textId="74760D49"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“6. Realizar las funciones de inspección, vigilancia y control en salud pública, aseguramiento y prestación del servicio de salud.</w:t>
      </w:r>
    </w:p>
    <w:p w14:paraId="19509955"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44171D1B" w14:textId="0B393E46"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“7. Formular y ejecutar el plan de atención básica y coordinar con los sectores y la comunidad las acciones que en salud pública se realicen para mejorar las condiciones de calidad de vida y salud de la población.</w:t>
      </w:r>
    </w:p>
    <w:p w14:paraId="45C47CBC"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1DF20FAA" w14:textId="61E94D82"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“8. Coordinar, supervisar y controlar las acciones de salud pública que realicen en su jurisdicción las Entidades Promotoras de Salud - EPS, las Administradoras de Régimen Subsidiado - ARS, las entidades transformadas y adaptadas y aquellas que hacen parte de los regímenes especiales, así como las Instituciones Prestadoras de Servicios de Salud - IPS e instituciones relacionadas.</w:t>
      </w:r>
    </w:p>
    <w:p w14:paraId="6A4FBEA7"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1051FAF7" w14:textId="6AA11235"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“9. Promover el aseguramiento de toda la población con énfasis en la población más pobre y vulnerable, al Sistema General de Seguridad Social en salud de acuerdo con lo establecido en el ordenamiento jurídico.</w:t>
      </w:r>
    </w:p>
    <w:p w14:paraId="34159798"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3B656F19" w14:textId="148AD2EC"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“10. Mantener actualizadas las bases de datos de la población afiliada al régimen subsidiado y reportar dichas novedades a la Secretaria de Planeación y demás entidades competentes.</w:t>
      </w:r>
    </w:p>
    <w:p w14:paraId="3D63D37F"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39B57891" w14:textId="39F55FB1"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“11. Definir, vigilar y controlar la oferta de servicios de salud del Distrito Capital, con el fin de garantizar su calidad y funcionamiento según las necesidades de la población.</w:t>
      </w:r>
    </w:p>
    <w:p w14:paraId="01DF2CD2"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69C7151B" w14:textId="243FE6D6"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“12. Promover el aseguramiento de las poblaciones especiales conforme lo define la ley y las acciones en salud pública establecidas en el ordenamiento jurídico.</w:t>
      </w:r>
    </w:p>
    <w:p w14:paraId="15819C15"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284D91FE" w14:textId="03891D05"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“13. Promover la coordinación de políticas con otros sectores, en particular hábitat, educación, planeación y medio ambiente, para incidir de manera integral en los determinantes de la salud y en la atención de la enfermedad.</w:t>
      </w:r>
    </w:p>
    <w:p w14:paraId="42E6983D"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color w:val="000000"/>
          <w:sz w:val="22"/>
          <w:szCs w:val="22"/>
          <w:bdr w:val="none" w:sz="0" w:space="0" w:color="auto" w:frame="1"/>
        </w:rPr>
        <w:t> </w:t>
      </w:r>
    </w:p>
    <w:p w14:paraId="236B2345" w14:textId="2DF89C34"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w:t>
      </w:r>
      <w:r w:rsidRPr="00EE6E08">
        <w:rPr>
          <w:rStyle w:val="ninguno"/>
          <w:rFonts w:ascii="Arial" w:hAnsi="Arial" w:cs="Arial"/>
          <w:i/>
          <w:iCs/>
          <w:color w:val="000000"/>
          <w:sz w:val="22"/>
          <w:szCs w:val="22"/>
          <w:bdr w:val="none" w:sz="0" w:space="0" w:color="auto" w:frame="1"/>
        </w:rPr>
        <w:t>14. Implementar programas de prevención del consumo del alcohol, del tabaco y otras drogas y de rehabilitación y desintoxicación.”</w:t>
      </w:r>
    </w:p>
    <w:p w14:paraId="7E0D4BF4" w14:textId="6034D000" w:rsidR="00331205" w:rsidRPr="00EE6E08" w:rsidRDefault="00331205" w:rsidP="00837A1A">
      <w:pPr>
        <w:spacing w:after="0" w:line="240" w:lineRule="auto"/>
        <w:ind w:left="567" w:right="616"/>
        <w:jc w:val="both"/>
        <w:rPr>
          <w:rFonts w:ascii="Arial" w:eastAsia="Times New Roman" w:hAnsi="Arial" w:cs="Arial"/>
          <w:color w:val="000000"/>
          <w:lang w:eastAsia="es-CO"/>
        </w:rPr>
      </w:pPr>
    </w:p>
    <w:p w14:paraId="4FF0C714" w14:textId="6DD94239" w:rsidR="007B1224" w:rsidRPr="00EE6E08" w:rsidRDefault="00331205" w:rsidP="00331205">
      <w:pPr>
        <w:spacing w:after="0" w:line="240" w:lineRule="auto"/>
        <w:jc w:val="both"/>
        <w:rPr>
          <w:rFonts w:ascii="Arial" w:eastAsia="Times New Roman" w:hAnsi="Arial" w:cs="Arial"/>
          <w:i/>
          <w:iCs/>
          <w:color w:val="000000"/>
          <w:lang w:eastAsia="es-CO"/>
        </w:rPr>
      </w:pPr>
      <w:r w:rsidRPr="00EE6E08">
        <w:rPr>
          <w:rFonts w:ascii="Arial" w:eastAsia="Times New Roman" w:hAnsi="Arial" w:cs="Arial"/>
          <w:color w:val="000000"/>
          <w:lang w:eastAsia="es-CO"/>
        </w:rPr>
        <w:t xml:space="preserve">De manera particular, el artículo </w:t>
      </w:r>
      <w:r w:rsidR="00837A1A" w:rsidRPr="00EE6E08">
        <w:rPr>
          <w:rFonts w:ascii="Arial" w:eastAsia="Times New Roman" w:hAnsi="Arial" w:cs="Arial"/>
          <w:color w:val="000000"/>
          <w:lang w:eastAsia="es-CO"/>
        </w:rPr>
        <w:t>16</w:t>
      </w:r>
      <w:r w:rsidRPr="00EE6E08">
        <w:rPr>
          <w:rFonts w:ascii="Arial" w:eastAsia="Times New Roman" w:hAnsi="Arial" w:cs="Arial"/>
          <w:color w:val="000000"/>
          <w:lang w:eastAsia="es-CO"/>
        </w:rPr>
        <w:t xml:space="preserve"> </w:t>
      </w:r>
      <w:r w:rsidRPr="00EE6E08">
        <w:rPr>
          <w:rFonts w:ascii="Arial" w:eastAsia="Times New Roman" w:hAnsi="Arial" w:cs="Arial"/>
          <w:i/>
          <w:iCs/>
          <w:color w:val="000000"/>
          <w:lang w:eastAsia="es-CO"/>
        </w:rPr>
        <w:t>ibidem</w:t>
      </w:r>
      <w:r w:rsidRPr="00EE6E08">
        <w:rPr>
          <w:rFonts w:ascii="Arial" w:eastAsia="Times New Roman" w:hAnsi="Arial" w:cs="Arial"/>
          <w:color w:val="000000"/>
          <w:lang w:eastAsia="es-CO"/>
        </w:rPr>
        <w:t xml:space="preserve"> determina que a esta Entidad corresponde, por medio de la Subsecretaría de Salud Pública – Subdirección de Vigilancia en Salud Pública</w:t>
      </w:r>
      <w:r w:rsidRPr="00EE6E08">
        <w:rPr>
          <w:rFonts w:ascii="Arial" w:eastAsia="Times New Roman" w:hAnsi="Arial" w:cs="Arial"/>
          <w:i/>
          <w:iCs/>
          <w:color w:val="000000"/>
          <w:lang w:eastAsia="es-CO"/>
        </w:rPr>
        <w:t>, “12. Cumplir y hacer cumplir las normas de orden sanitario previstas por la ley y normas sanitarias vigentes delegadas a la Secretaría”</w:t>
      </w:r>
      <w:r w:rsidRPr="00EE6E08">
        <w:rPr>
          <w:rFonts w:ascii="Arial" w:eastAsia="Times New Roman" w:hAnsi="Arial" w:cs="Arial"/>
          <w:color w:val="000000"/>
          <w:lang w:eastAsia="es-CO"/>
        </w:rPr>
        <w:t>, así como</w:t>
      </w:r>
      <w:r w:rsidRPr="00EE6E08">
        <w:rPr>
          <w:rFonts w:ascii="Arial" w:eastAsia="Times New Roman" w:hAnsi="Arial" w:cs="Arial"/>
          <w:i/>
          <w:iCs/>
          <w:color w:val="000000"/>
          <w:lang w:eastAsia="es-CO"/>
        </w:rPr>
        <w:t xml:space="preserve"> “13. Supervisar las acciones de vigilancia y control sanitario en el Distrito Capital”.</w:t>
      </w:r>
    </w:p>
    <w:p w14:paraId="14C50A26"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63A595A3" w14:textId="77777777" w:rsidR="001B79F1" w:rsidRPr="00EE6E08" w:rsidRDefault="001B79F1" w:rsidP="001B79F1">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 xml:space="preserve">Lo anterior, en concordancia con lo dispuesto en la Ley 715 de 2001, cuyos artículos 43 y 44 otorgan las siguientes competencias en materia de salud pública a los entes territoriales:  </w:t>
      </w:r>
    </w:p>
    <w:p w14:paraId="626A8935" w14:textId="77777777" w:rsidR="001B79F1" w:rsidRPr="00EE6E08" w:rsidRDefault="001B79F1" w:rsidP="001B79F1">
      <w:pPr>
        <w:spacing w:after="0" w:line="240" w:lineRule="auto"/>
        <w:ind w:right="616"/>
        <w:jc w:val="both"/>
        <w:rPr>
          <w:rFonts w:ascii="Arial" w:eastAsia="Times New Roman" w:hAnsi="Arial" w:cs="Arial"/>
          <w:i/>
          <w:iCs/>
          <w:color w:val="000000"/>
          <w:lang w:eastAsia="es-CO"/>
        </w:rPr>
      </w:pPr>
    </w:p>
    <w:p w14:paraId="2C1EA97F" w14:textId="77777777" w:rsidR="001B79F1" w:rsidRPr="00EE6E08" w:rsidRDefault="001B79F1" w:rsidP="001B79F1">
      <w:pPr>
        <w:spacing w:after="0" w:line="240" w:lineRule="auto"/>
        <w:ind w:left="567" w:right="616"/>
        <w:jc w:val="both"/>
        <w:rPr>
          <w:rFonts w:ascii="Arial" w:eastAsia="Times New Roman" w:hAnsi="Arial" w:cs="Arial"/>
          <w:b/>
          <w:bCs/>
          <w:i/>
          <w:iCs/>
          <w:color w:val="000000"/>
          <w:lang w:eastAsia="es-CO"/>
        </w:rPr>
      </w:pPr>
      <w:r w:rsidRPr="00EE6E08">
        <w:rPr>
          <w:rFonts w:ascii="Arial" w:eastAsia="Times New Roman" w:hAnsi="Arial" w:cs="Arial"/>
          <w:b/>
          <w:bCs/>
          <w:i/>
          <w:iCs/>
          <w:color w:val="000000"/>
          <w:lang w:eastAsia="es-CO"/>
        </w:rPr>
        <w:lastRenderedPageBreak/>
        <w:t>“ARTÍCULO </w:t>
      </w:r>
      <w:bookmarkStart w:id="0" w:name="43"/>
      <w:bookmarkEnd w:id="0"/>
      <w:r w:rsidRPr="00EE6E08">
        <w:rPr>
          <w:rFonts w:ascii="Arial" w:eastAsia="Times New Roman" w:hAnsi="Arial" w:cs="Arial"/>
          <w:b/>
          <w:bCs/>
          <w:i/>
          <w:iCs/>
          <w:color w:val="000000"/>
          <w:lang w:eastAsia="es-CO"/>
        </w:rPr>
        <w:t>43. COMPETENCIAS DE LOS DEPARTAMENTOS EN SALUD. </w:t>
      </w:r>
      <w:r w:rsidRPr="00EE6E08">
        <w:rPr>
          <w:rFonts w:ascii="Arial" w:eastAsia="Times New Roman" w:hAnsi="Arial" w:cs="Arial"/>
          <w:i/>
          <w:iCs/>
          <w:color w:val="000000"/>
          <w:lang w:eastAsia="es-CO"/>
        </w:rPr>
        <w:t>Sin perjuicio de las competencias establecidas en otras disposiciones legales, corresponde a los departamentos, dirigir, coordinar y vigilar el sector salud y el Sistema General de Seguridad Social en Salud en el territorio de su jurisdicción, atendiendo las disposiciones nacionales sobre la materia. Para tal efecto, se le asignan las siguientes funciones</w:t>
      </w:r>
      <w:r w:rsidRPr="00EE6E08">
        <w:rPr>
          <w:rFonts w:ascii="Arial" w:eastAsia="Times New Roman" w:hAnsi="Arial" w:cs="Arial"/>
          <w:b/>
          <w:bCs/>
          <w:i/>
          <w:iCs/>
          <w:color w:val="000000"/>
          <w:lang w:eastAsia="es-CO"/>
        </w:rPr>
        <w:t>:</w:t>
      </w:r>
    </w:p>
    <w:p w14:paraId="2F592E8D"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0B5BA0A8"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552F00CE"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“43.3. De Salud Pública</w:t>
      </w:r>
    </w:p>
    <w:p w14:paraId="073ECC6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0F33948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48D50EF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30AB644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“43.3.8. Ejecutar las acciones de inspección, vigilancia y control de los factores de riesgo del ambiente que afectan la salud humana, y de control de vectores y zoonosis de competencia del sector salud, en coordinación con las autoridades ambientales, en los corregimientos departamentales y en los municipios de categorías 4, 5 y 6 de su jurisdicción.</w:t>
      </w:r>
    </w:p>
    <w:p w14:paraId="3A33F0FC" w14:textId="77777777" w:rsidR="001B79F1" w:rsidRPr="00EE6E08" w:rsidRDefault="001B79F1" w:rsidP="001B79F1">
      <w:pPr>
        <w:spacing w:after="0" w:line="240" w:lineRule="auto"/>
        <w:ind w:left="567" w:right="616"/>
        <w:jc w:val="both"/>
        <w:rPr>
          <w:rFonts w:ascii="Arial" w:eastAsia="Times New Roman" w:hAnsi="Arial" w:cs="Arial"/>
          <w:b/>
          <w:bCs/>
          <w:i/>
          <w:iCs/>
          <w:color w:val="000000"/>
          <w:lang w:eastAsia="es-CO"/>
        </w:rPr>
      </w:pPr>
    </w:p>
    <w:p w14:paraId="75B0B58E"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b/>
          <w:bCs/>
          <w:i/>
          <w:iCs/>
          <w:color w:val="000000"/>
          <w:lang w:eastAsia="es-CO"/>
        </w:rPr>
        <w:t>“ARTÍCULO 44. COMPETENCIAS DE LOS MUNICIPIOS.</w:t>
      </w:r>
      <w:r w:rsidRPr="00EE6E08">
        <w:rPr>
          <w:rFonts w:ascii="Arial" w:eastAsia="Times New Roman" w:hAnsi="Arial" w:cs="Arial"/>
          <w:i/>
          <w:iCs/>
          <w:color w:val="000000"/>
          <w:lang w:eastAsia="es-CO"/>
        </w:rPr>
        <w:t xml:space="preserve"> Corresponde a los municipios dirigir y coordinar el sector salud y el Sistema General de Seguridad Social en Salud en el ámbito de su jurisdicción, para lo cual cumplirán las siguientes funciones, sin perjuicio de las asignadas en otras disposiciones:</w:t>
      </w:r>
    </w:p>
    <w:p w14:paraId="173209C4"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75AD5D5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16E3F60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 De Salud Pública</w:t>
      </w:r>
    </w:p>
    <w:p w14:paraId="42634A55"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76277126"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7491C1FF" w14:textId="77777777" w:rsidR="001B79F1" w:rsidRPr="00EE6E08" w:rsidRDefault="001B79F1" w:rsidP="001B79F1">
      <w:pPr>
        <w:spacing w:after="0" w:line="240" w:lineRule="auto"/>
        <w:ind w:right="616"/>
        <w:jc w:val="both"/>
        <w:rPr>
          <w:rFonts w:ascii="Arial" w:eastAsia="Times New Roman" w:hAnsi="Arial" w:cs="Arial"/>
          <w:i/>
          <w:iCs/>
          <w:color w:val="000000"/>
          <w:lang w:eastAsia="es-CO"/>
        </w:rPr>
      </w:pPr>
    </w:p>
    <w:p w14:paraId="16CC5A2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“44.3.3.3. Vigilar en su jurisdicción, la calidad del agua para consumo humano; la recolección, transporte y disposición final de residuos sólidos; manejo y disposición final de radiaciones ionizantes, excretas, residuos líquidos y aguas servidas; así como la calidad del aire. Para tal efecto, coordinará con las autoridades competentes las acciones de control a que haya lugar.</w:t>
      </w:r>
    </w:p>
    <w:p w14:paraId="38AAA5FD"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05AEBA5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“44.3.5. Ejercer vigilancia y control sanitario en su jurisdicción, sobre los factores de riesgo para la salud, en los establecimientos y espacios que puedan generar riesgos para la población, tales como establecimientos educativos, hospitales, cárceles, cuarteles, albergues, guarderías, ancianatos, puertos, aeropuertos y terminales terrestres, transporte público, piscinas, estadios, coliseos, gimnasios, bares, tabernas, supermercados y similares, plazas de mercado, de abasto público y plantas de sacrificio de animales, entre otros.</w:t>
      </w:r>
    </w:p>
    <w:p w14:paraId="1B3091BA"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0F4DA628" w14:textId="71E7968A" w:rsidR="00331205"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“44.3.6. Cumplir y hacer cumplir en su jurisdicción las normas de orden sanitario previstas en la Ley 9 de 1979 y su reglamentación o las que la modifiquen, adicionen o sustituyan.”</w:t>
      </w:r>
    </w:p>
    <w:p w14:paraId="30EC1883"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6C75141B" w14:textId="77777777" w:rsidR="00331205" w:rsidRPr="00EE6E08" w:rsidRDefault="00331205" w:rsidP="00331205">
      <w:pPr>
        <w:spacing w:after="0" w:line="240" w:lineRule="auto"/>
        <w:jc w:val="both"/>
        <w:rPr>
          <w:rFonts w:ascii="Arial" w:eastAsia="Times New Roman" w:hAnsi="Arial" w:cs="Arial"/>
          <w:i/>
          <w:iCs/>
          <w:color w:val="000000"/>
          <w:lang w:eastAsia="es-CO"/>
        </w:rPr>
      </w:pPr>
      <w:r w:rsidRPr="00EE6E08">
        <w:rPr>
          <w:rFonts w:ascii="Arial" w:eastAsia="Times New Roman" w:hAnsi="Arial" w:cs="Arial"/>
          <w:color w:val="000000"/>
          <w:lang w:eastAsia="es-CO"/>
        </w:rPr>
        <w:t xml:space="preserve">Cabe aclarar que, por virtud del artículo 45 </w:t>
      </w:r>
      <w:r w:rsidRPr="00EE6E08">
        <w:rPr>
          <w:rFonts w:ascii="Arial" w:eastAsia="Times New Roman" w:hAnsi="Arial" w:cs="Arial"/>
          <w:i/>
          <w:iCs/>
          <w:color w:val="000000"/>
          <w:lang w:eastAsia="es-CO"/>
        </w:rPr>
        <w:t>ibidem</w:t>
      </w:r>
      <w:r w:rsidRPr="00EE6E08">
        <w:rPr>
          <w:rFonts w:ascii="Arial" w:eastAsia="Times New Roman" w:hAnsi="Arial" w:cs="Arial"/>
          <w:color w:val="000000"/>
          <w:lang w:eastAsia="es-CO"/>
        </w:rPr>
        <w:t>, los Distritos cuentan con “</w:t>
      </w:r>
      <w:r w:rsidRPr="00EE6E08">
        <w:rPr>
          <w:rFonts w:ascii="Arial" w:eastAsia="Times New Roman" w:hAnsi="Arial" w:cs="Arial"/>
          <w:i/>
          <w:iCs/>
          <w:color w:val="000000"/>
          <w:lang w:eastAsia="es-CO"/>
        </w:rPr>
        <w:t>las mismas competencias que los municipios y departamentos, excepto aquellas que correspondan a la función de intermediación entre los municipios y la Nación …”</w:t>
      </w:r>
    </w:p>
    <w:p w14:paraId="62914AB0"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7AEB3DF1" w14:textId="77777777"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lastRenderedPageBreak/>
        <w:t>En lo que respecta a la inspección, vigilancia y control sanitario, la Secretaría Distrital de Salud adelanta –a través de las cuatro (4) Subredes Integradas de Servicios de Salud E.S.E.–, visitas de verificación a los establecimientos que ofrezcan bienes y servicios, mediante Inspectores Sanitarios encargados de verificar las condiciones higiénico-sanitarias en que estas desarrollan sus actividades, y que incluyen: edificaciones e instalaciones; equipos y utensilios; personal manipulador de alimentos; requisitos higiénicos; almacenamiento; áreas y capacidad instalada del establecimiento; métodos de conservación, saneamiento y manipulación.</w:t>
      </w:r>
    </w:p>
    <w:p w14:paraId="2DB437FE"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75D4E569" w14:textId="77777777"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 el cual puede ser:</w:t>
      </w:r>
    </w:p>
    <w:p w14:paraId="0371DAB2"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41DF815B" w14:textId="77777777" w:rsidR="00331205" w:rsidRPr="00EE6E08"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Favorable:</w:t>
      </w:r>
      <w:r w:rsidRPr="00EE6E08">
        <w:rPr>
          <w:rFonts w:ascii="Arial" w:eastAsia="Times New Roman" w:hAnsi="Arial" w:cs="Arial"/>
          <w:color w:val="000000"/>
          <w:lang w:eastAsia="es-CO"/>
        </w:rPr>
        <w:t xml:space="preserve"> si cumple con todo lo establecido en la norma sanitaria vigente.</w:t>
      </w:r>
    </w:p>
    <w:p w14:paraId="36725DB8"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5C8237A1" w14:textId="77777777" w:rsidR="00331205" w:rsidRPr="00EE6E08"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Favorable con requerimiento:</w:t>
      </w:r>
      <w:r w:rsidRPr="00EE6E08">
        <w:rPr>
          <w:rFonts w:ascii="Arial" w:eastAsia="Times New Roman" w:hAnsi="Arial" w:cs="Arial"/>
          <w:color w:val="000000"/>
          <w:lang w:eastAsia="es-CO"/>
        </w:rPr>
        <w:t xml:space="preserve"> cuando se incumplen los requisitos exigidos en la normatividad sanitaria y no ofrece riesgo para la salud pública.</w:t>
      </w:r>
    </w:p>
    <w:p w14:paraId="0A9D08E3"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456AA76F" w14:textId="77777777" w:rsidR="00331205" w:rsidRPr="00EE6E08"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Desfavorable:</w:t>
      </w:r>
      <w:r w:rsidRPr="00EE6E08">
        <w:rPr>
          <w:rFonts w:ascii="Arial" w:eastAsia="Times New Roman" w:hAnsi="Arial" w:cs="Arial"/>
          <w:color w:val="000000"/>
          <w:lang w:eastAsia="es-CO"/>
        </w:rPr>
        <w:t xml:space="preserve"> si incumple con lo establecido en la norma sanitaria vigente.</w:t>
      </w:r>
    </w:p>
    <w:p w14:paraId="27A6254B"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2BF16B2A" w14:textId="77777777"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Cuando se evidencia alguna situación crítica que pueda generar riesgo a la salud pública, se imponen las medidas sanitarias de seguridad –MSS– de que trata el artículo 576 de Ley 09 de 1979, que son de inmediata ejecución, tienen carácter preventivo y transitorio, y se aplican sin perjuicio de las sanciones administrativas a que haya a lugar, a saber:</w:t>
      </w:r>
    </w:p>
    <w:p w14:paraId="67A8F795"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582EFA5A" w14:textId="77777777" w:rsidR="00331205" w:rsidRPr="00EE6E08"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Clausura temporal total o parcial:</w:t>
      </w:r>
      <w:r w:rsidRPr="00EE6E08">
        <w:rPr>
          <w:rFonts w:ascii="Arial" w:eastAsia="Times New Roman" w:hAnsi="Arial" w:cs="Arial"/>
          <w:color w:val="000000"/>
          <w:lang w:eastAsia="es-CO"/>
        </w:rPr>
        <w:t xml:space="preserve"> Consiste en impedir temporalmente el funcionamiento de una fábrica, depósito, expendio o establecimiento de consumo de alimentos, o una de sus áreas cuando se considere que está causando un problema sanitario; medida que se adopta a través de la respectiva imposición de sellos en los que se exprese la leyenda "clausurado temporal, total o parcialmente, hasta nueva orden impartida por la autoridad sanitaria".</w:t>
      </w:r>
    </w:p>
    <w:p w14:paraId="1D4725C4"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4D80863A" w14:textId="77777777" w:rsidR="00331205" w:rsidRPr="00EE6E08"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Suspensión total o parcial de trabajos o servicios:</w:t>
      </w:r>
      <w:r w:rsidRPr="00EE6E08">
        <w:rPr>
          <w:rFonts w:ascii="Arial" w:eastAsia="Times New Roman" w:hAnsi="Arial" w:cs="Arial"/>
          <w:color w:val="000000"/>
          <w:lang w:eastAsia="es-CO"/>
        </w:rPr>
        <w:t xml:space="preserve"> Consiste en la orden del cese de actividades cuando con estas se estén violando las disposiciones sanitarias. La suspensión podrá ordenarse sobre todo o parte de los trabajos o servicios que se adelanten.</w:t>
      </w:r>
    </w:p>
    <w:p w14:paraId="56AA377C" w14:textId="77777777" w:rsidR="00331205" w:rsidRPr="00EE6E08" w:rsidRDefault="00331205" w:rsidP="00331205">
      <w:pPr>
        <w:pStyle w:val="Prrafodelista"/>
        <w:spacing w:after="0"/>
        <w:rPr>
          <w:rFonts w:ascii="Arial" w:eastAsia="Times New Roman" w:hAnsi="Arial" w:cs="Arial"/>
          <w:color w:val="000000"/>
          <w:lang w:eastAsia="es-CO"/>
        </w:rPr>
      </w:pPr>
    </w:p>
    <w:p w14:paraId="5B1F76C6" w14:textId="77777777" w:rsidR="00331205" w:rsidRPr="00EE6E08"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Decomiso del producto:</w:t>
      </w:r>
      <w:r w:rsidRPr="00EE6E08">
        <w:rPr>
          <w:rFonts w:ascii="Arial" w:eastAsia="Times New Roman" w:hAnsi="Arial" w:cs="Arial"/>
          <w:color w:val="000000"/>
          <w:lang w:eastAsia="es-CO"/>
        </w:rPr>
        <w:t xml:space="preserve"> Consiste en la incautación o aprehensión del objeto, materia prima, o alimento que no cumple con los requisitos de orden sanitario o que viole normas sanitarias vigentes. El decomiso se hará para evitar que el producto contaminado, adulterado, con fecha de vencimiento expirada, alterado o falsificado, pueda ocasionar daños a la salud del consumidor o inducir a engaño o viole normas sanitarias vigentes. Los productos decomisados podrán quedar en custodia mientras se define su destino final.”</w:t>
      </w:r>
    </w:p>
    <w:p w14:paraId="611C64E4"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184D9D56" w14:textId="23684CBB" w:rsidR="002B474C" w:rsidRPr="00EE6E08" w:rsidRDefault="00331205" w:rsidP="00B21118">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 xml:space="preserve">Lo anterior se desarrolla en concordancia con el Plan de Salud Pública de Intervenciones Colectivas, a través del correspondiente Convenio PSPIC suscrito entre cada una de las Subredes Integradas de Servicios de Salud –E.S.E. –, cuyo propósito fundamental es incidir en los riesgos colectivos e individuales generados por las condiciones de vida de la </w:t>
      </w:r>
      <w:r w:rsidRPr="00EE6E08">
        <w:rPr>
          <w:rFonts w:ascii="Arial" w:eastAsia="Times New Roman" w:hAnsi="Arial" w:cs="Arial"/>
          <w:color w:val="000000"/>
          <w:lang w:eastAsia="es-CO"/>
        </w:rPr>
        <w:lastRenderedPageBreak/>
        <w:t>población en el contexto urbano y rural para prevenir y controlar la enfermedad, así como contribuir al mantenimiento de la salud.</w:t>
      </w:r>
    </w:p>
    <w:p w14:paraId="1EE8648C" w14:textId="77777777" w:rsidR="00D873BD" w:rsidRDefault="00D873BD" w:rsidP="007529FD">
      <w:pPr>
        <w:widowControl w:val="0"/>
        <w:autoSpaceDE w:val="0"/>
        <w:autoSpaceDN w:val="0"/>
        <w:adjustRightInd w:val="0"/>
        <w:spacing w:after="0" w:line="240" w:lineRule="auto"/>
        <w:jc w:val="center"/>
        <w:rPr>
          <w:rFonts w:ascii="Arial" w:hAnsi="Arial" w:cs="Arial"/>
          <w:b/>
          <w:bCs/>
          <w:color w:val="000000"/>
          <w:u w:val="single"/>
        </w:rPr>
      </w:pPr>
    </w:p>
    <w:p w14:paraId="77FE6CE9" w14:textId="77777777" w:rsidR="00F301BF" w:rsidRDefault="00F301BF" w:rsidP="007529FD">
      <w:pPr>
        <w:widowControl w:val="0"/>
        <w:autoSpaceDE w:val="0"/>
        <w:autoSpaceDN w:val="0"/>
        <w:adjustRightInd w:val="0"/>
        <w:spacing w:after="0" w:line="240" w:lineRule="auto"/>
        <w:jc w:val="center"/>
        <w:rPr>
          <w:rFonts w:ascii="Arial" w:hAnsi="Arial" w:cs="Arial"/>
          <w:b/>
          <w:bCs/>
          <w:color w:val="000000"/>
          <w:u w:val="single"/>
        </w:rPr>
      </w:pPr>
    </w:p>
    <w:p w14:paraId="721366C2" w14:textId="5501E406" w:rsidR="007529FD" w:rsidRDefault="007529FD" w:rsidP="007529FD">
      <w:pPr>
        <w:widowControl w:val="0"/>
        <w:autoSpaceDE w:val="0"/>
        <w:autoSpaceDN w:val="0"/>
        <w:adjustRightInd w:val="0"/>
        <w:spacing w:after="0" w:line="240" w:lineRule="auto"/>
        <w:jc w:val="center"/>
        <w:rPr>
          <w:rFonts w:ascii="Arial" w:hAnsi="Arial" w:cs="Arial"/>
          <w:b/>
          <w:bCs/>
          <w:color w:val="000000"/>
          <w:u w:val="single"/>
        </w:rPr>
      </w:pPr>
      <w:r w:rsidRPr="00A651FC">
        <w:rPr>
          <w:rFonts w:ascii="Arial" w:hAnsi="Arial" w:cs="Arial"/>
          <w:b/>
          <w:bCs/>
          <w:color w:val="000000"/>
          <w:u w:val="single"/>
        </w:rPr>
        <w:t>PRONUNCIAMIENTO SOBRE LOS HECHOS DE LA DEMANDA</w:t>
      </w:r>
    </w:p>
    <w:p w14:paraId="362CA2E5" w14:textId="77777777" w:rsidR="00F301BF" w:rsidRDefault="00F301BF" w:rsidP="007529FD">
      <w:pPr>
        <w:widowControl w:val="0"/>
        <w:autoSpaceDE w:val="0"/>
        <w:autoSpaceDN w:val="0"/>
        <w:adjustRightInd w:val="0"/>
        <w:spacing w:after="0" w:line="240" w:lineRule="auto"/>
        <w:jc w:val="center"/>
        <w:rPr>
          <w:rFonts w:ascii="Arial" w:hAnsi="Arial" w:cs="Arial"/>
          <w:b/>
          <w:bCs/>
          <w:color w:val="000000"/>
          <w:u w:val="single"/>
        </w:rPr>
      </w:pPr>
    </w:p>
    <w:p w14:paraId="4495AE18" w14:textId="0A7E60C3" w:rsidR="00DE5EB7" w:rsidRDefault="00DE5EB7" w:rsidP="00DE5EB7">
      <w:pPr>
        <w:widowControl w:val="0"/>
        <w:autoSpaceDE w:val="0"/>
        <w:autoSpaceDN w:val="0"/>
        <w:adjustRightInd w:val="0"/>
        <w:spacing w:after="0" w:line="240" w:lineRule="auto"/>
        <w:jc w:val="both"/>
        <w:rPr>
          <w:rFonts w:ascii="Arial" w:hAnsi="Arial" w:cs="Arial"/>
          <w:b/>
          <w:bCs/>
          <w:color w:val="000000"/>
          <w:u w:val="single"/>
        </w:rPr>
      </w:pPr>
    </w:p>
    <w:p w14:paraId="300BCD5F" w14:textId="67841D5A"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 xml:space="preserve">En relación con los hechos expuestos en el escrito de </w:t>
      </w:r>
      <w:r>
        <w:rPr>
          <w:rFonts w:ascii="Arial" w:hAnsi="Arial" w:cs="Arial"/>
          <w:color w:val="000000"/>
        </w:rPr>
        <w:t>T</w:t>
      </w:r>
      <w:r w:rsidRPr="00B03330">
        <w:rPr>
          <w:rFonts w:ascii="Arial" w:hAnsi="Arial" w:cs="Arial"/>
          <w:color w:val="000000"/>
        </w:rPr>
        <w:t xml:space="preserve">utela, la Secretaría Distrital de Salud se permite precisar, de </w:t>
      </w:r>
      <w:r>
        <w:rPr>
          <w:rFonts w:ascii="Arial" w:hAnsi="Arial" w:cs="Arial"/>
          <w:color w:val="000000"/>
        </w:rPr>
        <w:t>forma</w:t>
      </w:r>
      <w:r w:rsidRPr="00B03330">
        <w:rPr>
          <w:rFonts w:ascii="Arial" w:hAnsi="Arial" w:cs="Arial"/>
          <w:color w:val="000000"/>
        </w:rPr>
        <w:t xml:space="preserve"> preliminar, que la situación fáctica descrita por el </w:t>
      </w:r>
      <w:r>
        <w:rPr>
          <w:rFonts w:ascii="Arial" w:hAnsi="Arial" w:cs="Arial"/>
          <w:color w:val="000000"/>
        </w:rPr>
        <w:t>A</w:t>
      </w:r>
      <w:r w:rsidRPr="00B03330">
        <w:rPr>
          <w:rFonts w:ascii="Arial" w:hAnsi="Arial" w:cs="Arial"/>
          <w:color w:val="000000"/>
        </w:rPr>
        <w:t xml:space="preserve">ccionante gira en torno a una problemática asociada al sistema de acueducto y alcantarillado, particularmente a las presuntas afectaciones derivadas de obras de intervención en tuberías de aguas negras, aguas residuales y aguas lluvias ubicadas en vía pública, así como al supuesto estado deficiente de pozos y cajas de alcantarillado localizados en el sector de la Calle </w:t>
      </w:r>
      <w:r>
        <w:rPr>
          <w:rFonts w:ascii="Arial" w:hAnsi="Arial" w:cs="Arial"/>
          <w:color w:val="000000"/>
        </w:rPr>
        <w:t xml:space="preserve">10 y </w:t>
      </w:r>
      <w:r w:rsidRPr="00B03330">
        <w:rPr>
          <w:rFonts w:ascii="Arial" w:hAnsi="Arial" w:cs="Arial"/>
          <w:color w:val="000000"/>
        </w:rPr>
        <w:t>11 Sur,</w:t>
      </w:r>
      <w:r>
        <w:rPr>
          <w:rFonts w:ascii="Arial" w:hAnsi="Arial" w:cs="Arial"/>
          <w:color w:val="000000"/>
        </w:rPr>
        <w:t xml:space="preserve"> a la altura de la carrera 1ª Este,</w:t>
      </w:r>
      <w:r w:rsidRPr="00B03330">
        <w:rPr>
          <w:rFonts w:ascii="Arial" w:hAnsi="Arial" w:cs="Arial"/>
          <w:color w:val="000000"/>
        </w:rPr>
        <w:t xml:space="preserve"> de la localidad de San Cristóbal.</w:t>
      </w:r>
    </w:p>
    <w:p w14:paraId="4FD272A7" w14:textId="77777777" w:rsidR="00B03330" w:rsidRPr="00B03330" w:rsidRDefault="00B03330" w:rsidP="00B03330">
      <w:pPr>
        <w:spacing w:after="0" w:line="240" w:lineRule="auto"/>
        <w:jc w:val="both"/>
        <w:rPr>
          <w:rFonts w:ascii="Arial" w:hAnsi="Arial" w:cs="Arial"/>
          <w:color w:val="000000"/>
        </w:rPr>
      </w:pPr>
    </w:p>
    <w:p w14:paraId="578552E6" w14:textId="72E7CFF8"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 xml:space="preserve">Desde esa perspectiva, debe resaltarse que la </w:t>
      </w:r>
      <w:r>
        <w:rPr>
          <w:rFonts w:ascii="Arial" w:hAnsi="Arial" w:cs="Arial"/>
          <w:color w:val="000000"/>
        </w:rPr>
        <w:t>esta Entidad</w:t>
      </w:r>
      <w:r w:rsidRPr="00B03330">
        <w:rPr>
          <w:rFonts w:ascii="Arial" w:hAnsi="Arial" w:cs="Arial"/>
          <w:color w:val="000000"/>
        </w:rPr>
        <w:t xml:space="preserve"> no es la autoridad competente para ejecutar intervenciones materiales, correctivas, de mantenimiento, adecuación, reparación o reposición sobre redes, pozos, sumideros, cajas de inspección o infraestructura del sistema público de acueducto y alcantarillado. Tales actuaciones corresponden a la Empresa de Acueducto y Alcantarillado de Bogotá D.C. E.S.P.</w:t>
      </w:r>
      <w:r>
        <w:rPr>
          <w:rFonts w:ascii="Arial" w:hAnsi="Arial" w:cs="Arial"/>
          <w:color w:val="000000"/>
        </w:rPr>
        <w:t xml:space="preserve"> –</w:t>
      </w:r>
      <w:r w:rsidRPr="00B03330">
        <w:rPr>
          <w:rFonts w:ascii="Arial" w:hAnsi="Arial" w:cs="Arial"/>
          <w:color w:val="000000"/>
        </w:rPr>
        <w:t xml:space="preserve"> EAAB, como entidad encargada de la operación, mantenimiento e intervención de dicha infraestructura, sin perjuicio de las demás competencias que, según la naturaleza del caso, puedan corresponder a otras autoridades distritales.</w:t>
      </w:r>
    </w:p>
    <w:p w14:paraId="30CA206A" w14:textId="77777777" w:rsidR="00B03330" w:rsidRPr="00B03330" w:rsidRDefault="00B03330" w:rsidP="00B03330">
      <w:pPr>
        <w:spacing w:after="0" w:line="240" w:lineRule="auto"/>
        <w:jc w:val="both"/>
        <w:rPr>
          <w:rFonts w:ascii="Arial" w:hAnsi="Arial" w:cs="Arial"/>
          <w:color w:val="000000"/>
        </w:rPr>
      </w:pPr>
    </w:p>
    <w:p w14:paraId="554A5AB3" w14:textId="29F8A1B3"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 xml:space="preserve">Lo anterior resulta particularmente relevante en el presente asunto, pues de la simple lectura de la </w:t>
      </w:r>
      <w:r>
        <w:rPr>
          <w:rFonts w:ascii="Arial" w:hAnsi="Arial" w:cs="Arial"/>
          <w:color w:val="000000"/>
        </w:rPr>
        <w:t>A</w:t>
      </w:r>
      <w:r w:rsidRPr="00B03330">
        <w:rPr>
          <w:rFonts w:ascii="Arial" w:hAnsi="Arial" w:cs="Arial"/>
          <w:color w:val="000000"/>
        </w:rPr>
        <w:t xml:space="preserve">cción de </w:t>
      </w:r>
      <w:r>
        <w:rPr>
          <w:rFonts w:ascii="Arial" w:hAnsi="Arial" w:cs="Arial"/>
          <w:color w:val="000000"/>
        </w:rPr>
        <w:t>T</w:t>
      </w:r>
      <w:r w:rsidRPr="00B03330">
        <w:rPr>
          <w:rFonts w:ascii="Arial" w:hAnsi="Arial" w:cs="Arial"/>
          <w:color w:val="000000"/>
        </w:rPr>
        <w:t xml:space="preserve">utela se advierte, que el propio </w:t>
      </w:r>
      <w:r>
        <w:rPr>
          <w:rFonts w:ascii="Arial" w:hAnsi="Arial" w:cs="Arial"/>
          <w:color w:val="000000"/>
        </w:rPr>
        <w:t>A</w:t>
      </w:r>
      <w:r w:rsidRPr="00B03330">
        <w:rPr>
          <w:rFonts w:ascii="Arial" w:hAnsi="Arial" w:cs="Arial"/>
          <w:color w:val="000000"/>
        </w:rPr>
        <w:t xml:space="preserve">ccionante dirigió la acción constitucional contra la Empresa de Acueducto y Alcantarillado de Bogotá D.C. E.S.P. – EAAB, entidad a la que atribuye la presunta vulneración de sus derechos fundamentales y frente a la cual formula la totalidad de sus pretensiones. Esta circunstancia no es casual ni meramente formal; por el contrario, confirma que el </w:t>
      </w:r>
      <w:r>
        <w:rPr>
          <w:rFonts w:ascii="Arial" w:hAnsi="Arial" w:cs="Arial"/>
          <w:color w:val="000000"/>
        </w:rPr>
        <w:t>A</w:t>
      </w:r>
      <w:r w:rsidRPr="00B03330">
        <w:rPr>
          <w:rFonts w:ascii="Arial" w:hAnsi="Arial" w:cs="Arial"/>
          <w:color w:val="000000"/>
        </w:rPr>
        <w:t>ccionante identificó como llamada a responder a la autoridad que considera</w:t>
      </w:r>
      <w:r>
        <w:rPr>
          <w:rFonts w:ascii="Arial" w:hAnsi="Arial" w:cs="Arial"/>
          <w:color w:val="000000"/>
        </w:rPr>
        <w:t xml:space="preserve"> –acertadamente–</w:t>
      </w:r>
      <w:r w:rsidRPr="00B03330">
        <w:rPr>
          <w:rFonts w:ascii="Arial" w:hAnsi="Arial" w:cs="Arial"/>
          <w:color w:val="000000"/>
        </w:rPr>
        <w:t xml:space="preserve"> competente para atender la problemática de alcantarillado público que describe en su escrito.</w:t>
      </w:r>
    </w:p>
    <w:p w14:paraId="208656DA" w14:textId="77777777" w:rsidR="00B03330" w:rsidRPr="00B03330" w:rsidRDefault="00B03330" w:rsidP="00B03330">
      <w:pPr>
        <w:spacing w:after="0" w:line="240" w:lineRule="auto"/>
        <w:jc w:val="both"/>
        <w:rPr>
          <w:rFonts w:ascii="Arial" w:hAnsi="Arial" w:cs="Arial"/>
          <w:color w:val="000000"/>
        </w:rPr>
      </w:pPr>
    </w:p>
    <w:p w14:paraId="5CBEAA28" w14:textId="288A3FCC"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 xml:space="preserve">En efecto, el </w:t>
      </w:r>
      <w:r>
        <w:rPr>
          <w:rFonts w:ascii="Arial" w:hAnsi="Arial" w:cs="Arial"/>
          <w:color w:val="000000"/>
        </w:rPr>
        <w:t>A</w:t>
      </w:r>
      <w:r w:rsidRPr="00B03330">
        <w:rPr>
          <w:rFonts w:ascii="Arial" w:hAnsi="Arial" w:cs="Arial"/>
          <w:color w:val="000000"/>
        </w:rPr>
        <w:t>ccionante señala que la EAAB habría realizado obras de intervención en tuberías de aguas negras y lluvias en la vía pública, ubicadas en la Calle 10 y 11 Sur, a la altura de la carrera 1ª Este de la localidad de San Cristóbal; que, como consecuencia de dichas intervenciones, se habrían dejado pozos y cajas de alcantarillado en condiciones técnicas deficientes; y que ello estaría afectando la evacuación de aguas servidas y lluvias, generando presuntas inundaciones, reboses de aguas residuales, malos olores y riesgos sanitarios en la vivienda ubicada en la Carrera 1 Este No. 10-72 Sur y en otros inmuebles vecinos. Así mismo, la pretensión principal de la tutela consiste en que se ordene a la EAAB dar respuesta al derecho de petición presentado el 10 de enero de 2026, radicado bajo el No. E-2026-002473 del 13 de enero de 2026.</w:t>
      </w:r>
    </w:p>
    <w:p w14:paraId="1992ACE1" w14:textId="77777777" w:rsidR="00B03330" w:rsidRPr="00B03330" w:rsidRDefault="00B03330" w:rsidP="00B03330">
      <w:pPr>
        <w:spacing w:after="0" w:line="240" w:lineRule="auto"/>
        <w:jc w:val="both"/>
        <w:rPr>
          <w:rFonts w:ascii="Arial" w:hAnsi="Arial" w:cs="Arial"/>
          <w:color w:val="000000"/>
        </w:rPr>
      </w:pPr>
    </w:p>
    <w:p w14:paraId="2AFF003E" w14:textId="77777777"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 xml:space="preserve">Sin perjuicio de lo anterior, y en atención a la vinculación efectuada por el Despacho judicial, la Secretaría Distrital de Salud, en ejercicio de sus competencias de inspección, vigilancia y control sanitario, actuó de manera oportuna a través de la línea de Calidad de Agua y Saneamiento Básico, realizando visita higiénico-sanitaria a la vivienda ubicada en la Carrera 1 Este No. 10-72 Sur, localidad de San Cristóbal, el día 07 de mayo de 2026. Dicha </w:t>
      </w:r>
      <w:r w:rsidRPr="00B03330">
        <w:rPr>
          <w:rFonts w:ascii="Arial" w:hAnsi="Arial" w:cs="Arial"/>
          <w:color w:val="000000"/>
        </w:rPr>
        <w:lastRenderedPageBreak/>
        <w:t>actuación quedó consignada en el Acta de inspección higiénico-sanitaria a vivienda en riesgo No. SB02E700636, la cual se acompaña con la presente respuesta.</w:t>
      </w:r>
    </w:p>
    <w:p w14:paraId="13B90F76" w14:textId="77777777" w:rsidR="00B03330" w:rsidRPr="00B03330" w:rsidRDefault="00B03330" w:rsidP="00B03330">
      <w:pPr>
        <w:spacing w:after="0" w:line="240" w:lineRule="auto"/>
        <w:jc w:val="both"/>
        <w:rPr>
          <w:rFonts w:ascii="Arial" w:hAnsi="Arial" w:cs="Arial"/>
          <w:color w:val="000000"/>
        </w:rPr>
      </w:pPr>
    </w:p>
    <w:p w14:paraId="3D92D98A" w14:textId="050A7C3F"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 xml:space="preserve">Durante la visita se verificaron las condiciones sanitarias del inmueble y las posibles afectaciones asociadas a la situación reportada. En desarrollo de </w:t>
      </w:r>
      <w:r>
        <w:rPr>
          <w:rFonts w:ascii="Arial" w:hAnsi="Arial" w:cs="Arial"/>
          <w:color w:val="000000"/>
        </w:rPr>
        <w:t>la misma</w:t>
      </w:r>
      <w:r w:rsidRPr="00B03330">
        <w:rPr>
          <w:rFonts w:ascii="Arial" w:hAnsi="Arial" w:cs="Arial"/>
          <w:color w:val="000000"/>
        </w:rPr>
        <w:t xml:space="preserve"> se evidenciaron huellas de humedad y deterioro físico en zócalos y parte inferior de paredes ubicadas en la sala, patio y habitación del primer nivel, específicamente hacia el costado sur de la vivienda, condiciones compatibles con procesos de infiltración y ascenso de humedad, con desprendimiento de pintura y alteración de acabados. Estos hallazgos pueden favorecer el deterioro progresivo de las superficies sanitarias y, de no ser atendidos, generar condiciones propicias para la aparición de hongos, macroorganismos u otros factores de riesgo sanitario.</w:t>
      </w:r>
    </w:p>
    <w:p w14:paraId="45B05B66" w14:textId="77777777" w:rsidR="00B03330" w:rsidRPr="00B03330" w:rsidRDefault="00B03330" w:rsidP="00B03330">
      <w:pPr>
        <w:spacing w:after="0" w:line="240" w:lineRule="auto"/>
        <w:jc w:val="both"/>
        <w:rPr>
          <w:rFonts w:ascii="Arial" w:hAnsi="Arial" w:cs="Arial"/>
          <w:color w:val="000000"/>
        </w:rPr>
      </w:pPr>
    </w:p>
    <w:p w14:paraId="19AF30D9" w14:textId="77777777"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Así mismo, se reportó una problemática asociada al presunto rebose de aguas residuales provenientes de una caja de inspección ubicada en vía pública, en la intersección de la Calle 10 Sur No. 72 con Carrera 1 Este, situación que, según lo observado y manifestado durante la diligencia, podría estar ocasionando filtraciones hacia la vivienda inspeccionada y otros inmuebles del sector. Esta circunstancia fue identificada como un factor de riesgo sanitario por su potencial relación con contaminación ambiental, generación de olores ofensivos y afectación de las condiciones higiénico-sanitarias del inmueble; no obstante, debe precisarse que la intervención material de dicha caja de inspección, por encontrarse asociada a infraestructura de alcantarillado ubicada en vía pública, excede el ámbito competencial de esta Secretaría y debe ser atendida por la autoridad competente, esto es, la Empresa de Acueducto y Alcantarillado de Bogotá D.C. E.S.P. – EAAB.</w:t>
      </w:r>
    </w:p>
    <w:p w14:paraId="70F1B1AC" w14:textId="77777777" w:rsidR="00B03330" w:rsidRPr="00B03330" w:rsidRDefault="00B03330" w:rsidP="00B03330">
      <w:pPr>
        <w:spacing w:after="0" w:line="240" w:lineRule="auto"/>
        <w:jc w:val="both"/>
        <w:rPr>
          <w:rFonts w:ascii="Arial" w:hAnsi="Arial" w:cs="Arial"/>
          <w:color w:val="000000"/>
        </w:rPr>
      </w:pPr>
    </w:p>
    <w:p w14:paraId="033A0036" w14:textId="77777777"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En cuanto al sistema de almacenamiento de agua, se verificó la existencia de un tanque elevado con aparente funcionamiento adecuado al momento de la visita; sin embargo, no se presentó soporte, certificado o evidencia documental que permitiera acreditar la realización periódica de actividades de limpieza y desinfección del tanque de almacenamiento, condición necesaria para garantizar la calidad sanitaria del agua destinada al consumo doméstico.</w:t>
      </w:r>
    </w:p>
    <w:p w14:paraId="6326BA4F" w14:textId="77777777" w:rsidR="00B03330" w:rsidRPr="00B03330" w:rsidRDefault="00B03330" w:rsidP="00B03330">
      <w:pPr>
        <w:spacing w:after="0" w:line="240" w:lineRule="auto"/>
        <w:jc w:val="both"/>
        <w:rPr>
          <w:rFonts w:ascii="Arial" w:hAnsi="Arial" w:cs="Arial"/>
          <w:color w:val="000000"/>
        </w:rPr>
      </w:pPr>
    </w:p>
    <w:p w14:paraId="5FC6465C" w14:textId="1E596201"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En lo que respecta al control de plagas, al momento de la inspección no se evidenció presencia activa de vectores, roedores o indicios asociados a infestación dentro de la vivienda. No obstante, se dejó constancia</w:t>
      </w:r>
      <w:r>
        <w:rPr>
          <w:rFonts w:ascii="Arial" w:hAnsi="Arial" w:cs="Arial"/>
          <w:color w:val="000000"/>
        </w:rPr>
        <w:t xml:space="preserve"> y se informó</w:t>
      </w:r>
      <w:r w:rsidRPr="00B03330">
        <w:rPr>
          <w:rFonts w:ascii="Arial" w:hAnsi="Arial" w:cs="Arial"/>
          <w:color w:val="000000"/>
        </w:rPr>
        <w:t xml:space="preserve"> de que las condiciones de humedad identificadas podrían favorecer potencialmente la aparición de este tipo de factores de riesgo sanitario, razón por la cual se formularon recomendaciones preventivas orientadas a mitigar las condiciones observadas.</w:t>
      </w:r>
    </w:p>
    <w:p w14:paraId="54862A36" w14:textId="77777777" w:rsidR="00B03330" w:rsidRPr="00B03330" w:rsidRDefault="00B03330" w:rsidP="00B03330">
      <w:pPr>
        <w:spacing w:after="0" w:line="240" w:lineRule="auto"/>
        <w:jc w:val="both"/>
        <w:rPr>
          <w:rFonts w:ascii="Arial" w:hAnsi="Arial" w:cs="Arial"/>
          <w:color w:val="000000"/>
        </w:rPr>
      </w:pPr>
    </w:p>
    <w:p w14:paraId="3A0E3DF2" w14:textId="77777777"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Como resultado de la visita, y de conformidad con los hallazgos registrados en el Acta No. SB02E700636 del 07 de mayo de 2026, se formularon las siguientes recomendaciones higiénico-sanitarias:</w:t>
      </w:r>
    </w:p>
    <w:p w14:paraId="4F6B4F12" w14:textId="77777777" w:rsidR="00B03330" w:rsidRPr="00B03330" w:rsidRDefault="00B03330" w:rsidP="00B03330">
      <w:pPr>
        <w:spacing w:after="0" w:line="240" w:lineRule="auto"/>
        <w:jc w:val="both"/>
        <w:rPr>
          <w:rFonts w:ascii="Arial" w:hAnsi="Arial" w:cs="Arial"/>
          <w:color w:val="000000"/>
        </w:rPr>
      </w:pPr>
    </w:p>
    <w:p w14:paraId="62C53D6E" w14:textId="40702A0E" w:rsidR="00B03330" w:rsidRPr="00B03330" w:rsidRDefault="00B03330" w:rsidP="00B03330">
      <w:pPr>
        <w:pStyle w:val="Prrafodelista"/>
        <w:numPr>
          <w:ilvl w:val="0"/>
          <w:numId w:val="13"/>
        </w:numPr>
        <w:spacing w:after="0" w:line="240" w:lineRule="auto"/>
        <w:jc w:val="both"/>
        <w:rPr>
          <w:rFonts w:ascii="Arial" w:hAnsi="Arial" w:cs="Arial"/>
          <w:color w:val="000000"/>
        </w:rPr>
      </w:pPr>
      <w:r w:rsidRPr="00B03330">
        <w:rPr>
          <w:rFonts w:ascii="Arial" w:hAnsi="Arial" w:cs="Arial"/>
          <w:color w:val="000000"/>
        </w:rPr>
        <w:t>Realizar mantenimiento correctivo en las paredes y superficies que presentan huellas de humedad en patio, sala y habitación del primer nivel, especialmente en el costado sur del inmueble, garantizando el resane, impermeabilización, reposición de acabados deteriorados y recubrimiento con materiales que permitan superficies lisas, lavables y de fácil limpieza.</w:t>
      </w:r>
    </w:p>
    <w:p w14:paraId="43D28146" w14:textId="2DA5DAAB" w:rsidR="00B03330" w:rsidRPr="00B03330" w:rsidRDefault="00B03330" w:rsidP="00B03330">
      <w:pPr>
        <w:pStyle w:val="Prrafodelista"/>
        <w:numPr>
          <w:ilvl w:val="0"/>
          <w:numId w:val="13"/>
        </w:numPr>
        <w:spacing w:after="0" w:line="240" w:lineRule="auto"/>
        <w:jc w:val="both"/>
        <w:rPr>
          <w:rFonts w:ascii="Arial" w:hAnsi="Arial" w:cs="Arial"/>
          <w:color w:val="000000"/>
        </w:rPr>
      </w:pPr>
      <w:r w:rsidRPr="00B03330">
        <w:rPr>
          <w:rFonts w:ascii="Arial" w:hAnsi="Arial" w:cs="Arial"/>
          <w:color w:val="000000"/>
        </w:rPr>
        <w:t>Adelantar procesos de limpieza, desinfección y mantenimiento de las áreas afectadas por humedad, con el fin de prevenir la proliferación de hongos, macroorganismos y otros factores de riesgo sanitario.</w:t>
      </w:r>
    </w:p>
    <w:p w14:paraId="7DB62BE0" w14:textId="4E6EE57B" w:rsidR="00B03330" w:rsidRPr="00B03330" w:rsidRDefault="00B03330" w:rsidP="00B03330">
      <w:pPr>
        <w:pStyle w:val="Prrafodelista"/>
        <w:numPr>
          <w:ilvl w:val="0"/>
          <w:numId w:val="13"/>
        </w:numPr>
        <w:spacing w:after="0" w:line="240" w:lineRule="auto"/>
        <w:jc w:val="both"/>
        <w:rPr>
          <w:rFonts w:ascii="Arial" w:hAnsi="Arial" w:cs="Arial"/>
          <w:color w:val="000000"/>
        </w:rPr>
      </w:pPr>
      <w:r w:rsidRPr="00B03330">
        <w:rPr>
          <w:rFonts w:ascii="Arial" w:hAnsi="Arial" w:cs="Arial"/>
          <w:color w:val="000000"/>
        </w:rPr>
        <w:lastRenderedPageBreak/>
        <w:t>Garantizar la limpieza y desinfección periódica del tanque de almacenamiento de agua, conservando los soportes o certificados correspondientes, de manera que pueda acreditarse el cumplimiento de las condiciones sanitarias aplicables al almacenamiento de agua para consumo doméstico.</w:t>
      </w:r>
    </w:p>
    <w:p w14:paraId="50BE1B39" w14:textId="37AB4703" w:rsidR="00B03330" w:rsidRPr="00B03330" w:rsidRDefault="00B03330" w:rsidP="00B03330">
      <w:pPr>
        <w:pStyle w:val="Prrafodelista"/>
        <w:numPr>
          <w:ilvl w:val="0"/>
          <w:numId w:val="13"/>
        </w:numPr>
        <w:spacing w:after="0" w:line="240" w:lineRule="auto"/>
        <w:jc w:val="both"/>
        <w:rPr>
          <w:rFonts w:ascii="Arial" w:hAnsi="Arial" w:cs="Arial"/>
          <w:color w:val="000000"/>
        </w:rPr>
      </w:pPr>
      <w:r w:rsidRPr="00B03330">
        <w:rPr>
          <w:rFonts w:ascii="Arial" w:hAnsi="Arial" w:cs="Arial"/>
          <w:color w:val="000000"/>
        </w:rPr>
        <w:t>Gestionar ante la Empresa de Acueducto y Alcantarillado de Bogotá D.C. E.S.P. – EAAB la revisión técnica, mantenimiento, adecuación y/o intervención de la caja de inspección de aguas residuales ubicada en vía pública, con el propósito de corregir el rebose reportado y prevenir afectaciones sanitarias a las viviendas circundantes.</w:t>
      </w:r>
    </w:p>
    <w:p w14:paraId="28273472" w14:textId="1446AF74" w:rsidR="00B03330" w:rsidRPr="00B03330" w:rsidRDefault="00B03330" w:rsidP="00B03330">
      <w:pPr>
        <w:pStyle w:val="Prrafodelista"/>
        <w:numPr>
          <w:ilvl w:val="0"/>
          <w:numId w:val="13"/>
        </w:numPr>
        <w:spacing w:after="0" w:line="240" w:lineRule="auto"/>
        <w:jc w:val="both"/>
        <w:rPr>
          <w:rFonts w:ascii="Arial" w:hAnsi="Arial" w:cs="Arial"/>
          <w:color w:val="000000"/>
        </w:rPr>
      </w:pPr>
      <w:r w:rsidRPr="00B03330">
        <w:rPr>
          <w:rFonts w:ascii="Arial" w:hAnsi="Arial" w:cs="Arial"/>
          <w:color w:val="000000"/>
        </w:rPr>
        <w:t>Mantener adecuadas prácticas de aseo, ventilación y manejo higiénico del inmueble, especialmente en las zonas afectadas por humedad, a efectos de disminuir la generación de olores ofensivos y prevenir el deterioro de las condiciones sanitarias.</w:t>
      </w:r>
    </w:p>
    <w:p w14:paraId="0313D1FC" w14:textId="77777777" w:rsidR="00B03330" w:rsidRPr="00B03330" w:rsidRDefault="00B03330" w:rsidP="00B03330">
      <w:pPr>
        <w:spacing w:after="0" w:line="240" w:lineRule="auto"/>
        <w:jc w:val="both"/>
        <w:rPr>
          <w:rFonts w:ascii="Arial" w:hAnsi="Arial" w:cs="Arial"/>
          <w:color w:val="000000"/>
        </w:rPr>
      </w:pPr>
    </w:p>
    <w:p w14:paraId="2A6B587C" w14:textId="4AA0A238" w:rsidR="00B03330" w:rsidRPr="00B03330" w:rsidRDefault="00B03330" w:rsidP="00B03330">
      <w:pPr>
        <w:spacing w:after="0" w:line="240" w:lineRule="auto"/>
        <w:jc w:val="both"/>
        <w:rPr>
          <w:rFonts w:ascii="Arial" w:hAnsi="Arial" w:cs="Arial"/>
          <w:color w:val="000000"/>
        </w:rPr>
      </w:pPr>
      <w:r w:rsidRPr="00B03330">
        <w:rPr>
          <w:rFonts w:ascii="Arial" w:hAnsi="Arial" w:cs="Arial"/>
          <w:color w:val="000000"/>
        </w:rPr>
        <w:t xml:space="preserve">Así las cosas, la Secretaría Distrital de Salud desplegó las actuaciones que se encontraban dentro del ámbito de sus competencias, consistentes en verificar las condiciones higiénico-sanitarias de la vivienda, identificar posibles factores de riesgo sanitario, dejar constancia técnica de los hallazgos evidenciados y formular las recomendaciones correspondientes. Sin embargo, la problemática estructural que, según el </w:t>
      </w:r>
      <w:r>
        <w:rPr>
          <w:rFonts w:ascii="Arial" w:hAnsi="Arial" w:cs="Arial"/>
          <w:color w:val="000000"/>
        </w:rPr>
        <w:t>A</w:t>
      </w:r>
      <w:r w:rsidRPr="00B03330">
        <w:rPr>
          <w:rFonts w:ascii="Arial" w:hAnsi="Arial" w:cs="Arial"/>
          <w:color w:val="000000"/>
        </w:rPr>
        <w:t>ccionante, se origina en obras, pozos, cajas de inspección o redes de alcantarillado ubicadas en vía pública, no puede ser corregida materialmente por esta Entidad, pues ello corresponde a la EAAB y a las demás autoridades legalmente competentes.</w:t>
      </w:r>
    </w:p>
    <w:p w14:paraId="4F862D5E" w14:textId="77777777" w:rsidR="00B03330" w:rsidRDefault="00B03330" w:rsidP="001531C9">
      <w:pPr>
        <w:spacing w:before="100" w:beforeAutospacing="1" w:after="100" w:afterAutospacing="1" w:line="240" w:lineRule="auto"/>
        <w:jc w:val="center"/>
        <w:rPr>
          <w:rFonts w:ascii="Arial" w:hAnsi="Arial" w:cs="Arial"/>
          <w:color w:val="000000"/>
        </w:rPr>
      </w:pPr>
    </w:p>
    <w:p w14:paraId="78E93BB2" w14:textId="5ABE3F10" w:rsidR="00FD7724" w:rsidRPr="00A651FC" w:rsidRDefault="00FD7724" w:rsidP="001531C9">
      <w:pPr>
        <w:spacing w:before="100" w:beforeAutospacing="1" w:after="100" w:afterAutospacing="1" w:line="240" w:lineRule="auto"/>
        <w:jc w:val="center"/>
        <w:rPr>
          <w:rFonts w:ascii="Arial" w:eastAsia="Times New Roman" w:hAnsi="Arial" w:cs="Arial"/>
          <w:b/>
          <w:bCs/>
          <w:color w:val="000000"/>
          <w:u w:val="single"/>
          <w:lang w:eastAsia="es-CO"/>
        </w:rPr>
      </w:pPr>
      <w:r w:rsidRPr="00A651FC">
        <w:rPr>
          <w:rFonts w:ascii="Arial" w:eastAsia="Times New Roman" w:hAnsi="Arial" w:cs="Arial"/>
          <w:b/>
          <w:bCs/>
          <w:color w:val="000000"/>
          <w:u w:val="single"/>
          <w:lang w:eastAsia="es-CO"/>
        </w:rPr>
        <w:t>FRENTE A LAS PRETENSIONES</w:t>
      </w:r>
    </w:p>
    <w:p w14:paraId="283BE7C7" w14:textId="77777777" w:rsidR="00F301BF" w:rsidRDefault="00F301BF" w:rsidP="001531C9">
      <w:pPr>
        <w:spacing w:after="0" w:line="240" w:lineRule="auto"/>
        <w:jc w:val="both"/>
        <w:rPr>
          <w:rFonts w:ascii="Arial" w:eastAsia="Times New Roman" w:hAnsi="Arial" w:cs="Arial"/>
          <w:color w:val="000000"/>
          <w:lang w:eastAsia="es-CO"/>
        </w:rPr>
      </w:pPr>
    </w:p>
    <w:p w14:paraId="2B4315B5" w14:textId="09B9DFB7" w:rsidR="00F94998" w:rsidRPr="00F94998" w:rsidRDefault="00F94998" w:rsidP="00F94998">
      <w:pPr>
        <w:spacing w:after="0" w:line="240" w:lineRule="auto"/>
        <w:jc w:val="both"/>
        <w:rPr>
          <w:rFonts w:ascii="Arial" w:eastAsia="Times New Roman" w:hAnsi="Arial" w:cs="Arial"/>
          <w:color w:val="000000"/>
          <w:lang w:eastAsia="es-CO"/>
        </w:rPr>
      </w:pPr>
      <w:r w:rsidRPr="00F94998">
        <w:rPr>
          <w:rFonts w:ascii="Arial" w:eastAsia="Times New Roman" w:hAnsi="Arial" w:cs="Arial"/>
          <w:color w:val="000000"/>
          <w:lang w:eastAsia="es-CO"/>
        </w:rPr>
        <w:t xml:space="preserve">En relación con las pretensiones formuladas por el </w:t>
      </w:r>
      <w:r>
        <w:rPr>
          <w:rFonts w:ascii="Arial" w:eastAsia="Times New Roman" w:hAnsi="Arial" w:cs="Arial"/>
          <w:color w:val="000000"/>
          <w:lang w:eastAsia="es-CO"/>
        </w:rPr>
        <w:t>A</w:t>
      </w:r>
      <w:r w:rsidRPr="00F94998">
        <w:rPr>
          <w:rFonts w:ascii="Arial" w:eastAsia="Times New Roman" w:hAnsi="Arial" w:cs="Arial"/>
          <w:color w:val="000000"/>
          <w:lang w:eastAsia="es-CO"/>
        </w:rPr>
        <w:t xml:space="preserve">ccionante, la Secretaría Distrital de Salud solicita </w:t>
      </w:r>
      <w:r>
        <w:rPr>
          <w:rFonts w:ascii="Arial" w:eastAsia="Times New Roman" w:hAnsi="Arial" w:cs="Arial"/>
          <w:color w:val="000000"/>
          <w:lang w:eastAsia="es-CO"/>
        </w:rPr>
        <w:t>de la manera más respetuosa</w:t>
      </w:r>
      <w:r w:rsidRPr="00F94998">
        <w:rPr>
          <w:rFonts w:ascii="Arial" w:eastAsia="Times New Roman" w:hAnsi="Arial" w:cs="Arial"/>
          <w:color w:val="000000"/>
          <w:lang w:eastAsia="es-CO"/>
        </w:rPr>
        <w:t xml:space="preserve"> al Despacho declarar configurada la falta de legitimación en la causa por pasiva respecto de esta Entidad y, en consecuencia, disponer su desvinculación del presente trámite constitucional o, subsidiariamente, abstenerse de impartir orden alguna en su contra.</w:t>
      </w:r>
    </w:p>
    <w:p w14:paraId="47A486A9" w14:textId="77777777" w:rsidR="00F94998" w:rsidRPr="00F94998" w:rsidRDefault="00F94998" w:rsidP="00F94998">
      <w:pPr>
        <w:spacing w:after="0" w:line="240" w:lineRule="auto"/>
        <w:jc w:val="both"/>
        <w:rPr>
          <w:rFonts w:ascii="Arial" w:eastAsia="Times New Roman" w:hAnsi="Arial" w:cs="Arial"/>
          <w:color w:val="000000"/>
          <w:lang w:eastAsia="es-CO"/>
        </w:rPr>
      </w:pPr>
    </w:p>
    <w:p w14:paraId="0DCEED4B" w14:textId="3F977BBB" w:rsidR="00F94998" w:rsidRPr="00F94998" w:rsidRDefault="00F94998" w:rsidP="00F94998">
      <w:pPr>
        <w:spacing w:after="0" w:line="240" w:lineRule="auto"/>
        <w:jc w:val="both"/>
        <w:rPr>
          <w:rFonts w:ascii="Arial" w:eastAsia="Times New Roman" w:hAnsi="Arial" w:cs="Arial"/>
          <w:color w:val="000000"/>
          <w:lang w:eastAsia="es-CO"/>
        </w:rPr>
      </w:pPr>
      <w:r w:rsidRPr="00F94998">
        <w:rPr>
          <w:rFonts w:ascii="Arial" w:eastAsia="Times New Roman" w:hAnsi="Arial" w:cs="Arial"/>
          <w:color w:val="000000"/>
          <w:lang w:eastAsia="es-CO"/>
        </w:rPr>
        <w:t xml:space="preserve">Lo anterior, por cuanto la </w:t>
      </w:r>
      <w:r>
        <w:rPr>
          <w:rFonts w:ascii="Arial" w:eastAsia="Times New Roman" w:hAnsi="Arial" w:cs="Arial"/>
          <w:color w:val="000000"/>
          <w:lang w:eastAsia="es-CO"/>
        </w:rPr>
        <w:t>A</w:t>
      </w:r>
      <w:r w:rsidRPr="00F94998">
        <w:rPr>
          <w:rFonts w:ascii="Arial" w:eastAsia="Times New Roman" w:hAnsi="Arial" w:cs="Arial"/>
          <w:color w:val="000000"/>
          <w:lang w:eastAsia="es-CO"/>
        </w:rPr>
        <w:t xml:space="preserve">cción de </w:t>
      </w:r>
      <w:r>
        <w:rPr>
          <w:rFonts w:ascii="Arial" w:eastAsia="Times New Roman" w:hAnsi="Arial" w:cs="Arial"/>
          <w:color w:val="000000"/>
          <w:lang w:eastAsia="es-CO"/>
        </w:rPr>
        <w:t>T</w:t>
      </w:r>
      <w:r w:rsidRPr="00F94998">
        <w:rPr>
          <w:rFonts w:ascii="Arial" w:eastAsia="Times New Roman" w:hAnsi="Arial" w:cs="Arial"/>
          <w:color w:val="000000"/>
          <w:lang w:eastAsia="es-CO"/>
        </w:rPr>
        <w:t>utela fue dirigida exclusivamente contra la Empresa de Acueducto y Alcantarillado de Bogotá D.C. E.S.P. – EAAB, entidad a la que el accionante atribuye tanto la presunta falta de respuesta al derecho de petición radicado bajo el No. E-2026-002473 del 13 de enero de 2026, como la ausencia de gestión frente a la problemática asociada a tuberías, pozos y cajas de alcantarillado ubicados en vía pública. En esa misma línea, las pretensiones elevadas en el escrito de tutela se orientan a obtener una orden judicial contra la EAAB y no contra la Secretaría Distrital de Salud.</w:t>
      </w:r>
    </w:p>
    <w:p w14:paraId="56721F4D" w14:textId="77777777" w:rsidR="00F94998" w:rsidRPr="00F94998" w:rsidRDefault="00F94998" w:rsidP="00F94998">
      <w:pPr>
        <w:spacing w:after="0" w:line="240" w:lineRule="auto"/>
        <w:jc w:val="both"/>
        <w:rPr>
          <w:rFonts w:ascii="Arial" w:eastAsia="Times New Roman" w:hAnsi="Arial" w:cs="Arial"/>
          <w:color w:val="000000"/>
          <w:lang w:eastAsia="es-CO"/>
        </w:rPr>
      </w:pPr>
    </w:p>
    <w:p w14:paraId="7327AAA1" w14:textId="006AD0F8" w:rsidR="00F94998" w:rsidRPr="00F94998" w:rsidRDefault="00F94998" w:rsidP="00F94998">
      <w:pPr>
        <w:spacing w:after="0" w:line="240" w:lineRule="auto"/>
        <w:jc w:val="both"/>
        <w:rPr>
          <w:rFonts w:ascii="Arial" w:eastAsia="Times New Roman" w:hAnsi="Arial" w:cs="Arial"/>
          <w:color w:val="000000"/>
          <w:lang w:eastAsia="es-CO"/>
        </w:rPr>
      </w:pPr>
      <w:r w:rsidRPr="00F94998">
        <w:rPr>
          <w:rFonts w:ascii="Arial" w:eastAsia="Times New Roman" w:hAnsi="Arial" w:cs="Arial"/>
          <w:color w:val="000000"/>
          <w:lang w:eastAsia="es-CO"/>
        </w:rPr>
        <w:t xml:space="preserve">Esta circunstancia no es menor, pues evidencia que el propio </w:t>
      </w:r>
      <w:r>
        <w:rPr>
          <w:rFonts w:ascii="Arial" w:eastAsia="Times New Roman" w:hAnsi="Arial" w:cs="Arial"/>
          <w:color w:val="000000"/>
          <w:lang w:eastAsia="es-CO"/>
        </w:rPr>
        <w:t>A</w:t>
      </w:r>
      <w:r w:rsidRPr="00F94998">
        <w:rPr>
          <w:rFonts w:ascii="Arial" w:eastAsia="Times New Roman" w:hAnsi="Arial" w:cs="Arial"/>
          <w:color w:val="000000"/>
          <w:lang w:eastAsia="es-CO"/>
        </w:rPr>
        <w:t xml:space="preserve">ccionante identificó </w:t>
      </w:r>
      <w:r>
        <w:rPr>
          <w:rFonts w:ascii="Arial" w:eastAsia="Times New Roman" w:hAnsi="Arial" w:cs="Arial"/>
          <w:color w:val="000000"/>
          <w:lang w:eastAsia="es-CO"/>
        </w:rPr>
        <w:t xml:space="preserve">–y con toda razón– que </w:t>
      </w:r>
      <w:r w:rsidRPr="00F94998">
        <w:rPr>
          <w:rFonts w:ascii="Arial" w:eastAsia="Times New Roman" w:hAnsi="Arial" w:cs="Arial"/>
          <w:color w:val="000000"/>
          <w:lang w:eastAsia="es-CO"/>
        </w:rPr>
        <w:t>la autoridad llamada a atender el asunto objeto de controversia</w:t>
      </w:r>
      <w:r>
        <w:rPr>
          <w:rFonts w:ascii="Arial" w:eastAsia="Times New Roman" w:hAnsi="Arial" w:cs="Arial"/>
          <w:color w:val="000000"/>
          <w:lang w:eastAsia="es-CO"/>
        </w:rPr>
        <w:t xml:space="preserve"> es la EAAB</w:t>
      </w:r>
      <w:r w:rsidRPr="00F94998">
        <w:rPr>
          <w:rFonts w:ascii="Arial" w:eastAsia="Times New Roman" w:hAnsi="Arial" w:cs="Arial"/>
          <w:color w:val="000000"/>
          <w:lang w:eastAsia="es-CO"/>
        </w:rPr>
        <w:t xml:space="preserve">. En efecto, </w:t>
      </w:r>
      <w:r>
        <w:rPr>
          <w:rFonts w:ascii="Arial" w:eastAsia="Times New Roman" w:hAnsi="Arial" w:cs="Arial"/>
          <w:color w:val="000000"/>
          <w:lang w:eastAsia="es-CO"/>
        </w:rPr>
        <w:t>esta Entidad</w:t>
      </w:r>
      <w:r w:rsidRPr="00F94998">
        <w:rPr>
          <w:rFonts w:ascii="Arial" w:eastAsia="Times New Roman" w:hAnsi="Arial" w:cs="Arial"/>
          <w:color w:val="000000"/>
          <w:lang w:eastAsia="es-CO"/>
        </w:rPr>
        <w:t xml:space="preserve"> no </w:t>
      </w:r>
      <w:r>
        <w:rPr>
          <w:rFonts w:ascii="Arial" w:eastAsia="Times New Roman" w:hAnsi="Arial" w:cs="Arial"/>
          <w:color w:val="000000"/>
          <w:lang w:eastAsia="es-CO"/>
        </w:rPr>
        <w:t xml:space="preserve">fue ni </w:t>
      </w:r>
      <w:r w:rsidRPr="00F94998">
        <w:rPr>
          <w:rFonts w:ascii="Arial" w:eastAsia="Times New Roman" w:hAnsi="Arial" w:cs="Arial"/>
          <w:color w:val="000000"/>
          <w:lang w:eastAsia="es-CO"/>
        </w:rPr>
        <w:t>es destinataria del derecho de petición cuya respuesta se reclama, ni tiene competencia para intervenir, reparar, adecuar, limpiar, mantener u ordenar actuaciones materiales sobre redes, pozos, sumideros, cajas de inspección o infraestructura del sistema público de acueducto y alcantarillado. Tales actuaciones</w:t>
      </w:r>
      <w:r>
        <w:rPr>
          <w:rFonts w:ascii="Arial" w:eastAsia="Times New Roman" w:hAnsi="Arial" w:cs="Arial"/>
          <w:color w:val="000000"/>
          <w:lang w:eastAsia="es-CO"/>
        </w:rPr>
        <w:t>, se insiste,</w:t>
      </w:r>
      <w:r w:rsidRPr="00F94998">
        <w:rPr>
          <w:rFonts w:ascii="Arial" w:eastAsia="Times New Roman" w:hAnsi="Arial" w:cs="Arial"/>
          <w:color w:val="000000"/>
          <w:lang w:eastAsia="es-CO"/>
        </w:rPr>
        <w:t xml:space="preserve"> corresponden a la EAAB, como entidad competente en la materia.</w:t>
      </w:r>
    </w:p>
    <w:p w14:paraId="53C9E4A3" w14:textId="77777777" w:rsidR="00F94998" w:rsidRPr="00F94998" w:rsidRDefault="00F94998" w:rsidP="00F94998">
      <w:pPr>
        <w:spacing w:after="0" w:line="240" w:lineRule="auto"/>
        <w:jc w:val="both"/>
        <w:rPr>
          <w:rFonts w:ascii="Arial" w:eastAsia="Times New Roman" w:hAnsi="Arial" w:cs="Arial"/>
          <w:color w:val="000000"/>
          <w:lang w:eastAsia="es-CO"/>
        </w:rPr>
      </w:pPr>
    </w:p>
    <w:p w14:paraId="03552EB0" w14:textId="223E96BF" w:rsidR="00F94998" w:rsidRPr="00F94998" w:rsidRDefault="00F94998" w:rsidP="00F94998">
      <w:pPr>
        <w:spacing w:after="0" w:line="240" w:lineRule="auto"/>
        <w:jc w:val="both"/>
        <w:rPr>
          <w:rFonts w:ascii="Arial" w:eastAsia="Times New Roman" w:hAnsi="Arial" w:cs="Arial"/>
          <w:color w:val="000000"/>
          <w:lang w:eastAsia="es-CO"/>
        </w:rPr>
      </w:pPr>
      <w:r w:rsidRPr="00F94998">
        <w:rPr>
          <w:rFonts w:ascii="Arial" w:eastAsia="Times New Roman" w:hAnsi="Arial" w:cs="Arial"/>
          <w:color w:val="000000"/>
          <w:lang w:eastAsia="es-CO"/>
        </w:rPr>
        <w:t xml:space="preserve">Ahora bien, como se expuso en el acápite de pronunciamiento sobre los hechos de la demanda, lo anterior no significa que la Secretaría Distrital de Salud haya permanecido </w:t>
      </w:r>
      <w:r w:rsidRPr="00F94998">
        <w:rPr>
          <w:rFonts w:ascii="Arial" w:eastAsia="Times New Roman" w:hAnsi="Arial" w:cs="Arial"/>
          <w:color w:val="000000"/>
          <w:lang w:eastAsia="es-CO"/>
        </w:rPr>
        <w:lastRenderedPageBreak/>
        <w:t xml:space="preserve">inactiva. </w:t>
      </w:r>
      <w:r>
        <w:rPr>
          <w:rFonts w:ascii="Arial" w:eastAsia="Times New Roman" w:hAnsi="Arial" w:cs="Arial"/>
          <w:color w:val="000000"/>
          <w:lang w:eastAsia="es-CO"/>
        </w:rPr>
        <w:t>Todo lo contrario</w:t>
      </w:r>
      <w:r w:rsidRPr="00F94998">
        <w:rPr>
          <w:rFonts w:ascii="Arial" w:eastAsia="Times New Roman" w:hAnsi="Arial" w:cs="Arial"/>
          <w:color w:val="000000"/>
          <w:lang w:eastAsia="es-CO"/>
        </w:rPr>
        <w:t>, en el marco estricto de sus competencias sanitarias, esta Entidad realizó la visita higiénico-sanitaria correspondiente el día 07 de mayo de 2026, actuación consignada en el Acta No. SB02E700636, mediante la cual verificó las condiciones del inmueble, registró los hallazgos evidenciados y formuló las recomendaciones higiénico-sanitarias pertinentes. No obstante, dicha actuación no altera la conclusión central</w:t>
      </w:r>
      <w:r>
        <w:rPr>
          <w:rFonts w:ascii="Arial" w:eastAsia="Times New Roman" w:hAnsi="Arial" w:cs="Arial"/>
          <w:color w:val="000000"/>
          <w:lang w:eastAsia="es-CO"/>
        </w:rPr>
        <w:t>, cual es, que</w:t>
      </w:r>
      <w:r w:rsidRPr="00F94998">
        <w:rPr>
          <w:rFonts w:ascii="Arial" w:eastAsia="Times New Roman" w:hAnsi="Arial" w:cs="Arial"/>
          <w:color w:val="000000"/>
          <w:lang w:eastAsia="es-CO"/>
        </w:rPr>
        <w:t xml:space="preserve"> la problemática material relacionada con el sistema de alcantarillado público debe ser atendida por la autoridad competente, esto es, la EAAB.</w:t>
      </w:r>
    </w:p>
    <w:p w14:paraId="75ECD7DF" w14:textId="77777777" w:rsidR="00F94998" w:rsidRPr="00F94998" w:rsidRDefault="00F94998" w:rsidP="00F94998">
      <w:pPr>
        <w:spacing w:after="0" w:line="240" w:lineRule="auto"/>
        <w:jc w:val="both"/>
        <w:rPr>
          <w:rFonts w:ascii="Arial" w:eastAsia="Times New Roman" w:hAnsi="Arial" w:cs="Arial"/>
          <w:color w:val="000000"/>
          <w:lang w:eastAsia="es-CO"/>
        </w:rPr>
      </w:pPr>
    </w:p>
    <w:p w14:paraId="1A22803A" w14:textId="41FB865B" w:rsidR="00F94998" w:rsidRPr="00F94998" w:rsidRDefault="00F94998" w:rsidP="00F94998">
      <w:pPr>
        <w:spacing w:after="0" w:line="240" w:lineRule="auto"/>
        <w:jc w:val="both"/>
        <w:rPr>
          <w:rFonts w:ascii="Arial" w:eastAsia="Times New Roman" w:hAnsi="Arial" w:cs="Arial"/>
          <w:color w:val="000000"/>
          <w:lang w:eastAsia="es-CO"/>
        </w:rPr>
      </w:pPr>
      <w:r w:rsidRPr="00F94998">
        <w:rPr>
          <w:rFonts w:ascii="Arial" w:eastAsia="Times New Roman" w:hAnsi="Arial" w:cs="Arial"/>
          <w:color w:val="000000"/>
          <w:lang w:eastAsia="es-CO"/>
        </w:rPr>
        <w:t xml:space="preserve">Bajo ese contexto, no existe acción u omisión atribuible a </w:t>
      </w:r>
      <w:r>
        <w:rPr>
          <w:rFonts w:ascii="Arial" w:eastAsia="Times New Roman" w:hAnsi="Arial" w:cs="Arial"/>
          <w:color w:val="000000"/>
          <w:lang w:eastAsia="es-CO"/>
        </w:rPr>
        <w:t>esta Entidad</w:t>
      </w:r>
      <w:r w:rsidRPr="00F94998">
        <w:rPr>
          <w:rFonts w:ascii="Arial" w:eastAsia="Times New Roman" w:hAnsi="Arial" w:cs="Arial"/>
          <w:color w:val="000000"/>
          <w:lang w:eastAsia="es-CO"/>
        </w:rPr>
        <w:t xml:space="preserve"> que permita imputarle la vulneración de los derechos fundamentales invocados. La </w:t>
      </w:r>
      <w:r>
        <w:rPr>
          <w:rFonts w:ascii="Arial" w:eastAsia="Times New Roman" w:hAnsi="Arial" w:cs="Arial"/>
          <w:color w:val="000000"/>
          <w:lang w:eastAsia="es-CO"/>
        </w:rPr>
        <w:t>SDS</w:t>
      </w:r>
      <w:r w:rsidRPr="00F94998">
        <w:rPr>
          <w:rFonts w:ascii="Arial" w:eastAsia="Times New Roman" w:hAnsi="Arial" w:cs="Arial"/>
          <w:color w:val="000000"/>
          <w:lang w:eastAsia="es-CO"/>
        </w:rPr>
        <w:t xml:space="preserve"> actuó dentro de su órbita funcional, pero no puede sustituir a la EAAB en la respuesta del derecho de petición que le fue radicado, ni en la ejecución de intervenciones materiales sobre la infraestructura pública de acueducto y alcantarillado.</w:t>
      </w:r>
    </w:p>
    <w:p w14:paraId="389DDF01" w14:textId="77777777" w:rsidR="00F94998" w:rsidRPr="00F94998" w:rsidRDefault="00F94998" w:rsidP="00F94998">
      <w:pPr>
        <w:spacing w:after="0" w:line="240" w:lineRule="auto"/>
        <w:jc w:val="both"/>
        <w:rPr>
          <w:rFonts w:ascii="Arial" w:eastAsia="Times New Roman" w:hAnsi="Arial" w:cs="Arial"/>
          <w:color w:val="000000"/>
          <w:lang w:eastAsia="es-CO"/>
        </w:rPr>
      </w:pPr>
    </w:p>
    <w:p w14:paraId="07A1F890" w14:textId="3BA1BEE3" w:rsidR="00E47116" w:rsidRDefault="00F94998" w:rsidP="00F94998">
      <w:pPr>
        <w:spacing w:after="0" w:line="240" w:lineRule="auto"/>
        <w:jc w:val="both"/>
        <w:rPr>
          <w:rFonts w:ascii="Arial" w:eastAsia="Times New Roman" w:hAnsi="Arial" w:cs="Arial"/>
          <w:color w:val="000000"/>
          <w:lang w:eastAsia="es-CO"/>
        </w:rPr>
      </w:pPr>
      <w:r w:rsidRPr="00F94998">
        <w:rPr>
          <w:rFonts w:ascii="Arial" w:eastAsia="Times New Roman" w:hAnsi="Arial" w:cs="Arial"/>
          <w:color w:val="000000"/>
          <w:lang w:eastAsia="es-CO"/>
        </w:rPr>
        <w:t>Así las cosas, frente a la Secretaría Distrital de Salud se configura la falta de legitimación en la causa por pasiva, en la medida en que:</w:t>
      </w:r>
      <w:r w:rsidRPr="00F94998">
        <w:rPr>
          <w:rFonts w:ascii="Arial" w:eastAsia="Times New Roman" w:hAnsi="Arial" w:cs="Arial"/>
          <w:b/>
          <w:bCs/>
          <w:i/>
          <w:iCs/>
          <w:color w:val="000000"/>
          <w:lang w:eastAsia="es-CO"/>
        </w:rPr>
        <w:t xml:space="preserve"> i) </w:t>
      </w:r>
      <w:r w:rsidRPr="00F94998">
        <w:rPr>
          <w:rFonts w:ascii="Arial" w:eastAsia="Times New Roman" w:hAnsi="Arial" w:cs="Arial"/>
          <w:color w:val="000000"/>
          <w:lang w:eastAsia="es-CO"/>
        </w:rPr>
        <w:t xml:space="preserve">no fue identificada como accionada por el actor; </w:t>
      </w:r>
      <w:proofErr w:type="spellStart"/>
      <w:r w:rsidRPr="00F94998">
        <w:rPr>
          <w:rFonts w:ascii="Arial" w:eastAsia="Times New Roman" w:hAnsi="Arial" w:cs="Arial"/>
          <w:b/>
          <w:bCs/>
          <w:i/>
          <w:iCs/>
          <w:color w:val="000000"/>
          <w:lang w:eastAsia="es-CO"/>
        </w:rPr>
        <w:t>ii</w:t>
      </w:r>
      <w:proofErr w:type="spellEnd"/>
      <w:r w:rsidRPr="00F94998">
        <w:rPr>
          <w:rFonts w:ascii="Arial" w:eastAsia="Times New Roman" w:hAnsi="Arial" w:cs="Arial"/>
          <w:b/>
          <w:bCs/>
          <w:i/>
          <w:iCs/>
          <w:color w:val="000000"/>
          <w:lang w:eastAsia="es-CO"/>
        </w:rPr>
        <w:t>)</w:t>
      </w:r>
      <w:r w:rsidRPr="00F94998">
        <w:rPr>
          <w:rFonts w:ascii="Arial" w:eastAsia="Times New Roman" w:hAnsi="Arial" w:cs="Arial"/>
          <w:color w:val="000000"/>
          <w:lang w:eastAsia="es-CO"/>
        </w:rPr>
        <w:t xml:space="preserve"> no se formuló pretensión alguna en su contra; </w:t>
      </w:r>
      <w:proofErr w:type="spellStart"/>
      <w:r w:rsidRPr="00F94998">
        <w:rPr>
          <w:rFonts w:ascii="Arial" w:eastAsia="Times New Roman" w:hAnsi="Arial" w:cs="Arial"/>
          <w:b/>
          <w:bCs/>
          <w:i/>
          <w:iCs/>
          <w:color w:val="000000"/>
          <w:lang w:eastAsia="es-CO"/>
        </w:rPr>
        <w:t>iii</w:t>
      </w:r>
      <w:proofErr w:type="spellEnd"/>
      <w:r w:rsidRPr="00F94998">
        <w:rPr>
          <w:rFonts w:ascii="Arial" w:eastAsia="Times New Roman" w:hAnsi="Arial" w:cs="Arial"/>
          <w:b/>
          <w:bCs/>
          <w:i/>
          <w:iCs/>
          <w:color w:val="000000"/>
          <w:lang w:eastAsia="es-CO"/>
        </w:rPr>
        <w:t>)</w:t>
      </w:r>
      <w:r w:rsidRPr="00F94998">
        <w:rPr>
          <w:rFonts w:ascii="Arial" w:eastAsia="Times New Roman" w:hAnsi="Arial" w:cs="Arial"/>
          <w:color w:val="000000"/>
          <w:lang w:eastAsia="es-CO"/>
        </w:rPr>
        <w:t xml:space="preserve"> no es la destinataria del derecho de petición cuya respuesta se reclama; </w:t>
      </w:r>
      <w:proofErr w:type="spellStart"/>
      <w:r w:rsidRPr="00F94998">
        <w:rPr>
          <w:rFonts w:ascii="Arial" w:eastAsia="Times New Roman" w:hAnsi="Arial" w:cs="Arial"/>
          <w:b/>
          <w:bCs/>
          <w:i/>
          <w:iCs/>
          <w:color w:val="000000"/>
          <w:lang w:eastAsia="es-CO"/>
        </w:rPr>
        <w:t>iv</w:t>
      </w:r>
      <w:proofErr w:type="spellEnd"/>
      <w:r w:rsidRPr="00F94998">
        <w:rPr>
          <w:rFonts w:ascii="Arial" w:eastAsia="Times New Roman" w:hAnsi="Arial" w:cs="Arial"/>
          <w:b/>
          <w:bCs/>
          <w:i/>
          <w:iCs/>
          <w:color w:val="000000"/>
          <w:lang w:eastAsia="es-CO"/>
        </w:rPr>
        <w:t>)</w:t>
      </w:r>
      <w:r w:rsidRPr="00F94998">
        <w:rPr>
          <w:rFonts w:ascii="Arial" w:eastAsia="Times New Roman" w:hAnsi="Arial" w:cs="Arial"/>
          <w:color w:val="000000"/>
          <w:lang w:eastAsia="es-CO"/>
        </w:rPr>
        <w:t xml:space="preserve"> no es la autoridad competente para intervenir materialmente redes, pozos, cajas o infraestructura de alcantarillado público; y </w:t>
      </w:r>
      <w:r w:rsidRPr="00F94998">
        <w:rPr>
          <w:rFonts w:ascii="Arial" w:eastAsia="Times New Roman" w:hAnsi="Arial" w:cs="Arial"/>
          <w:b/>
          <w:bCs/>
          <w:i/>
          <w:iCs/>
          <w:color w:val="000000"/>
          <w:lang w:eastAsia="es-CO"/>
        </w:rPr>
        <w:t>v)</w:t>
      </w:r>
      <w:r w:rsidRPr="00F94998">
        <w:rPr>
          <w:rFonts w:ascii="Arial" w:eastAsia="Times New Roman" w:hAnsi="Arial" w:cs="Arial"/>
          <w:color w:val="000000"/>
          <w:lang w:eastAsia="es-CO"/>
        </w:rPr>
        <w:t xml:space="preserve"> sí desplegó, dentro de su órbita funcional, la actuación sanitaria que le correspondía, mediante visita técnica, registro de hallazgos y formulación de recomendaciones.</w:t>
      </w:r>
    </w:p>
    <w:p w14:paraId="294CA475" w14:textId="53CFF7FE" w:rsidR="00E47116" w:rsidRDefault="00F94998" w:rsidP="00F94998">
      <w:pPr>
        <w:spacing w:before="100" w:beforeAutospacing="1" w:after="100" w:afterAutospacing="1" w:line="240" w:lineRule="auto"/>
        <w:jc w:val="both"/>
        <w:rPr>
          <w:rFonts w:ascii="Arial" w:eastAsia="Times New Roman" w:hAnsi="Arial" w:cs="Arial"/>
          <w:color w:val="000000"/>
          <w:lang w:eastAsia="es-CO"/>
        </w:rPr>
      </w:pPr>
      <w:r w:rsidRPr="00F94998">
        <w:rPr>
          <w:rFonts w:ascii="Arial" w:eastAsia="Times New Roman" w:hAnsi="Arial" w:cs="Arial"/>
          <w:color w:val="000000"/>
          <w:lang w:eastAsia="es-CO"/>
        </w:rPr>
        <w:t>En consecuencia, cualquier orden judicial relacionada con la respuesta al derecho de petición, la revisión técnica, mantenimiento, adecuación o intervención del sistema de alcantarillado deberá recaer, en caso de estimarse procedente, sobre la autoridad competente para atender tales asuntos. Respecto de la Secretaría Distrital de Salud, se encuentra acreditado que su actuación se limitó al ejercicio de sus funciones sanitarias, sin que exista fundamento fáctico, jurídico o competencial que permita atribuirle la vulneración alegada por el accionante.</w:t>
      </w:r>
    </w:p>
    <w:p w14:paraId="015FFB68" w14:textId="6BC96C4D" w:rsidR="00FD7724" w:rsidRDefault="00FD7724" w:rsidP="00E47116">
      <w:pPr>
        <w:spacing w:before="100" w:beforeAutospacing="1" w:after="100" w:afterAutospacing="1" w:line="240" w:lineRule="auto"/>
        <w:rPr>
          <w:rFonts w:ascii="Arial" w:eastAsia="Times New Roman" w:hAnsi="Arial" w:cs="Arial"/>
          <w:color w:val="000000"/>
          <w:lang w:eastAsia="es-CO"/>
        </w:rPr>
      </w:pPr>
      <w:r w:rsidRPr="007541C3">
        <w:rPr>
          <w:rFonts w:ascii="Arial" w:eastAsia="Times New Roman" w:hAnsi="Arial" w:cs="Arial"/>
          <w:color w:val="000000"/>
          <w:lang w:eastAsia="es-CO"/>
        </w:rPr>
        <w:t>Atentamente,</w:t>
      </w:r>
    </w:p>
    <w:p w14:paraId="7D444F20" w14:textId="77777777" w:rsidR="001531C9" w:rsidRPr="007541C3" w:rsidRDefault="001531C9" w:rsidP="00FD7724">
      <w:pPr>
        <w:spacing w:before="100" w:beforeAutospacing="1" w:after="100" w:afterAutospacing="1" w:line="240" w:lineRule="auto"/>
        <w:rPr>
          <w:rFonts w:ascii="Arial" w:eastAsia="Times New Roman" w:hAnsi="Arial" w:cs="Arial"/>
          <w:color w:val="000000"/>
          <w:lang w:eastAsia="es-CO"/>
        </w:rPr>
      </w:pPr>
    </w:p>
    <w:p w14:paraId="608CBE43" w14:textId="4506392B" w:rsidR="00BC41EA" w:rsidRDefault="00FD7724" w:rsidP="00254066">
      <w:pPr>
        <w:spacing w:after="0" w:line="240" w:lineRule="auto"/>
        <w:rPr>
          <w:rFonts w:ascii="Arial" w:eastAsia="Times New Roman" w:hAnsi="Arial" w:cs="Arial"/>
          <w:color w:val="000000"/>
          <w:sz w:val="18"/>
          <w:szCs w:val="18"/>
          <w:lang w:eastAsia="es-CO"/>
        </w:rPr>
      </w:pPr>
      <w:r w:rsidRPr="007541C3">
        <w:rPr>
          <w:rFonts w:ascii="Arial" w:eastAsia="Times New Roman" w:hAnsi="Arial" w:cs="Arial"/>
          <w:color w:val="000000"/>
          <w:sz w:val="18"/>
          <w:szCs w:val="18"/>
          <w:lang w:eastAsia="es-CO"/>
        </w:rPr>
        <w:t xml:space="preserve">Elaboró: </w:t>
      </w:r>
      <w:r w:rsidR="00811814">
        <w:rPr>
          <w:rFonts w:ascii="Arial" w:eastAsia="Times New Roman" w:hAnsi="Arial" w:cs="Arial"/>
          <w:color w:val="000000"/>
          <w:sz w:val="18"/>
          <w:szCs w:val="18"/>
          <w:lang w:eastAsia="es-CO"/>
        </w:rPr>
        <w:t>Sonia Gigliola Corchuelo Parra</w:t>
      </w:r>
      <w:r w:rsidR="00DE5EB7">
        <w:rPr>
          <w:rFonts w:ascii="Arial" w:eastAsia="Times New Roman" w:hAnsi="Arial" w:cs="Arial"/>
          <w:color w:val="000000"/>
          <w:sz w:val="18"/>
          <w:szCs w:val="18"/>
          <w:lang w:eastAsia="es-CO"/>
        </w:rPr>
        <w:t xml:space="preserve"> </w:t>
      </w:r>
      <w:r w:rsidR="00DE5EB7" w:rsidRPr="007541C3">
        <w:rPr>
          <w:rFonts w:ascii="Arial" w:eastAsia="Times New Roman" w:hAnsi="Arial" w:cs="Arial"/>
          <w:color w:val="000000"/>
          <w:sz w:val="18"/>
          <w:szCs w:val="18"/>
          <w:lang w:eastAsia="es-CO"/>
        </w:rPr>
        <w:t>/ Subdirección de vigilancia en salud pública</w:t>
      </w:r>
    </w:p>
    <w:p w14:paraId="05BFA3ED" w14:textId="6FD9F643" w:rsidR="001531C9" w:rsidRDefault="001531C9" w:rsidP="001531C9">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ab/>
      </w:r>
      <w:r w:rsidR="00811814">
        <w:rPr>
          <w:rFonts w:ascii="Arial" w:eastAsia="Times New Roman" w:hAnsi="Arial" w:cs="Arial"/>
          <w:color w:val="000000"/>
          <w:sz w:val="18"/>
          <w:szCs w:val="18"/>
          <w:lang w:eastAsia="es-CO"/>
        </w:rPr>
        <w:t>Jorge Andrés Escobar Mesa</w:t>
      </w:r>
      <w:r>
        <w:rPr>
          <w:rFonts w:ascii="Arial" w:eastAsia="Times New Roman" w:hAnsi="Arial" w:cs="Arial"/>
          <w:color w:val="000000"/>
          <w:sz w:val="18"/>
          <w:szCs w:val="18"/>
          <w:lang w:eastAsia="es-CO"/>
        </w:rPr>
        <w:t xml:space="preserve"> / </w:t>
      </w:r>
      <w:r w:rsidRPr="007541C3">
        <w:rPr>
          <w:rFonts w:ascii="Arial" w:eastAsia="Times New Roman" w:hAnsi="Arial" w:cs="Arial"/>
          <w:color w:val="000000"/>
          <w:sz w:val="18"/>
          <w:szCs w:val="18"/>
          <w:lang w:eastAsia="es-CO"/>
        </w:rPr>
        <w:t>Subdirección de vigilancia en salud pública</w:t>
      </w:r>
    </w:p>
    <w:p w14:paraId="0FD05E17" w14:textId="7E2176F6" w:rsidR="005005B7" w:rsidRPr="00F301BF" w:rsidRDefault="005005B7" w:rsidP="00F301BF">
      <w:pPr>
        <w:pStyle w:val="NormalWeb"/>
        <w:shd w:val="clear" w:color="auto" w:fill="FFFFFF"/>
        <w:spacing w:before="0" w:beforeAutospacing="0" w:after="0" w:afterAutospacing="0"/>
        <w:rPr>
          <w:rFonts w:ascii="Arial" w:hAnsi="Arial" w:cs="Arial"/>
          <w:color w:val="242424"/>
          <w:sz w:val="23"/>
          <w:szCs w:val="23"/>
        </w:rPr>
      </w:pPr>
    </w:p>
    <w:sectPr w:rsidR="005005B7" w:rsidRPr="00F301B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0F964" w14:textId="77777777" w:rsidR="002A6E8C" w:rsidRDefault="002A6E8C" w:rsidP="00AC4E0B">
      <w:pPr>
        <w:spacing w:after="0" w:line="240" w:lineRule="auto"/>
      </w:pPr>
      <w:r>
        <w:separator/>
      </w:r>
    </w:p>
  </w:endnote>
  <w:endnote w:type="continuationSeparator" w:id="0">
    <w:p w14:paraId="30B020C2" w14:textId="77777777" w:rsidR="002A6E8C" w:rsidRDefault="002A6E8C" w:rsidP="00AC4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quot;Aptos&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font424">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9DBD" w14:textId="77777777" w:rsidR="002A6E8C" w:rsidRDefault="002A6E8C" w:rsidP="00AC4E0B">
      <w:pPr>
        <w:spacing w:after="0" w:line="240" w:lineRule="auto"/>
      </w:pPr>
      <w:r>
        <w:separator/>
      </w:r>
    </w:p>
  </w:footnote>
  <w:footnote w:type="continuationSeparator" w:id="0">
    <w:p w14:paraId="6D49C9F7" w14:textId="77777777" w:rsidR="002A6E8C" w:rsidRDefault="002A6E8C" w:rsidP="00AC4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2009"/>
    <w:multiLevelType w:val="hybridMultilevel"/>
    <w:tmpl w:val="7716EF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A96852"/>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712FB7"/>
    <w:multiLevelType w:val="hybridMultilevel"/>
    <w:tmpl w:val="8F6455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A84014"/>
    <w:multiLevelType w:val="hybridMultilevel"/>
    <w:tmpl w:val="1924CD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1518682B"/>
    <w:multiLevelType w:val="hybridMultilevel"/>
    <w:tmpl w:val="FDE029BA"/>
    <w:lvl w:ilvl="0" w:tplc="98D6BF9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7729E0"/>
    <w:multiLevelType w:val="hybridMultilevel"/>
    <w:tmpl w:val="57001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40B0554"/>
    <w:multiLevelType w:val="hybridMultilevel"/>
    <w:tmpl w:val="A4025964"/>
    <w:lvl w:ilvl="0" w:tplc="B8C60226">
      <w:start w:val="12"/>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270C3B53"/>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082305"/>
    <w:multiLevelType w:val="hybridMultilevel"/>
    <w:tmpl w:val="54D02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A42846"/>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48547725"/>
    <w:multiLevelType w:val="hybridMultilevel"/>
    <w:tmpl w:val="4596E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D2EEBA"/>
    <w:multiLevelType w:val="hybridMultilevel"/>
    <w:tmpl w:val="CFDCE3DA"/>
    <w:lvl w:ilvl="0" w:tplc="C4604CA0">
      <w:start w:val="1"/>
      <w:numFmt w:val="bullet"/>
      <w:lvlText w:val="-"/>
      <w:lvlJc w:val="left"/>
      <w:pPr>
        <w:ind w:left="720" w:hanging="360"/>
      </w:pPr>
      <w:rPr>
        <w:rFonts w:ascii="&quot;Aptos&quot;,sans-serif" w:hAnsi="&quot;Aptos&quot;,sans-serif" w:hint="default"/>
      </w:rPr>
    </w:lvl>
    <w:lvl w:ilvl="1" w:tplc="14EE464E">
      <w:start w:val="1"/>
      <w:numFmt w:val="bullet"/>
      <w:lvlText w:val="o"/>
      <w:lvlJc w:val="left"/>
      <w:pPr>
        <w:ind w:left="1440" w:hanging="360"/>
      </w:pPr>
      <w:rPr>
        <w:rFonts w:ascii="Courier New" w:hAnsi="Courier New" w:hint="default"/>
      </w:rPr>
    </w:lvl>
    <w:lvl w:ilvl="2" w:tplc="96E66890">
      <w:start w:val="1"/>
      <w:numFmt w:val="bullet"/>
      <w:lvlText w:val=""/>
      <w:lvlJc w:val="left"/>
      <w:pPr>
        <w:ind w:left="2160" w:hanging="360"/>
      </w:pPr>
      <w:rPr>
        <w:rFonts w:ascii="Wingdings" w:hAnsi="Wingdings" w:hint="default"/>
      </w:rPr>
    </w:lvl>
    <w:lvl w:ilvl="3" w:tplc="E4ECACAA">
      <w:start w:val="1"/>
      <w:numFmt w:val="bullet"/>
      <w:lvlText w:val=""/>
      <w:lvlJc w:val="left"/>
      <w:pPr>
        <w:ind w:left="2880" w:hanging="360"/>
      </w:pPr>
      <w:rPr>
        <w:rFonts w:ascii="Symbol" w:hAnsi="Symbol" w:hint="default"/>
      </w:rPr>
    </w:lvl>
    <w:lvl w:ilvl="4" w:tplc="9B520F1A">
      <w:start w:val="1"/>
      <w:numFmt w:val="bullet"/>
      <w:lvlText w:val="o"/>
      <w:lvlJc w:val="left"/>
      <w:pPr>
        <w:ind w:left="3600" w:hanging="360"/>
      </w:pPr>
      <w:rPr>
        <w:rFonts w:ascii="Courier New" w:hAnsi="Courier New" w:hint="default"/>
      </w:rPr>
    </w:lvl>
    <w:lvl w:ilvl="5" w:tplc="BFE2E452">
      <w:start w:val="1"/>
      <w:numFmt w:val="bullet"/>
      <w:lvlText w:val=""/>
      <w:lvlJc w:val="left"/>
      <w:pPr>
        <w:ind w:left="4320" w:hanging="360"/>
      </w:pPr>
      <w:rPr>
        <w:rFonts w:ascii="Wingdings" w:hAnsi="Wingdings" w:hint="default"/>
      </w:rPr>
    </w:lvl>
    <w:lvl w:ilvl="6" w:tplc="C6C89D62">
      <w:start w:val="1"/>
      <w:numFmt w:val="bullet"/>
      <w:lvlText w:val=""/>
      <w:lvlJc w:val="left"/>
      <w:pPr>
        <w:ind w:left="5040" w:hanging="360"/>
      </w:pPr>
      <w:rPr>
        <w:rFonts w:ascii="Symbol" w:hAnsi="Symbol" w:hint="default"/>
      </w:rPr>
    </w:lvl>
    <w:lvl w:ilvl="7" w:tplc="3A14648C">
      <w:start w:val="1"/>
      <w:numFmt w:val="bullet"/>
      <w:lvlText w:val="o"/>
      <w:lvlJc w:val="left"/>
      <w:pPr>
        <w:ind w:left="5760" w:hanging="360"/>
      </w:pPr>
      <w:rPr>
        <w:rFonts w:ascii="Courier New" w:hAnsi="Courier New" w:hint="default"/>
      </w:rPr>
    </w:lvl>
    <w:lvl w:ilvl="8" w:tplc="A5D69B18">
      <w:start w:val="1"/>
      <w:numFmt w:val="bullet"/>
      <w:lvlText w:val=""/>
      <w:lvlJc w:val="left"/>
      <w:pPr>
        <w:ind w:left="6480" w:hanging="360"/>
      </w:pPr>
      <w:rPr>
        <w:rFonts w:ascii="Wingdings" w:hAnsi="Wingdings" w:hint="default"/>
      </w:rPr>
    </w:lvl>
  </w:abstractNum>
  <w:abstractNum w:abstractNumId="12" w15:restartNumberingAfterBreak="0">
    <w:nsid w:val="5AAF2E6F"/>
    <w:multiLevelType w:val="hybridMultilevel"/>
    <w:tmpl w:val="33FCC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FEA6C9B"/>
    <w:multiLevelType w:val="hybridMultilevel"/>
    <w:tmpl w:val="A0CC3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5314792"/>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6AEE6881"/>
    <w:multiLevelType w:val="hybridMultilevel"/>
    <w:tmpl w:val="95F08D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6D367C29"/>
    <w:multiLevelType w:val="hybridMultilevel"/>
    <w:tmpl w:val="1E16A86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7" w15:restartNumberingAfterBreak="0">
    <w:nsid w:val="6D692585"/>
    <w:multiLevelType w:val="hybridMultilevel"/>
    <w:tmpl w:val="30E6439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71B27D5C"/>
    <w:multiLevelType w:val="hybridMultilevel"/>
    <w:tmpl w:val="06BCC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2207518"/>
    <w:multiLevelType w:val="hybridMultilevel"/>
    <w:tmpl w:val="8ACAC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18659439">
    <w:abstractNumId w:val="2"/>
  </w:num>
  <w:num w:numId="2" w16cid:durableId="476919279">
    <w:abstractNumId w:val="18"/>
  </w:num>
  <w:num w:numId="3" w16cid:durableId="1166167549">
    <w:abstractNumId w:val="19"/>
  </w:num>
  <w:num w:numId="4" w16cid:durableId="2007247604">
    <w:abstractNumId w:val="11"/>
  </w:num>
  <w:num w:numId="5" w16cid:durableId="51737348">
    <w:abstractNumId w:val="7"/>
  </w:num>
  <w:num w:numId="6" w16cid:durableId="42759310">
    <w:abstractNumId w:val="1"/>
  </w:num>
  <w:num w:numId="7" w16cid:durableId="9649627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0147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240">
    <w:abstractNumId w:val="6"/>
  </w:num>
  <w:num w:numId="10" w16cid:durableId="1880120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2379273">
    <w:abstractNumId w:val="9"/>
  </w:num>
  <w:num w:numId="12" w16cid:durableId="1369574666">
    <w:abstractNumId w:val="16"/>
  </w:num>
  <w:num w:numId="13" w16cid:durableId="1966037472">
    <w:abstractNumId w:val="3"/>
  </w:num>
  <w:num w:numId="14" w16cid:durableId="242573041">
    <w:abstractNumId w:val="0"/>
  </w:num>
  <w:num w:numId="15" w16cid:durableId="2094426271">
    <w:abstractNumId w:val="12"/>
  </w:num>
  <w:num w:numId="16" w16cid:durableId="1453088565">
    <w:abstractNumId w:val="10"/>
  </w:num>
  <w:num w:numId="17" w16cid:durableId="2058702114">
    <w:abstractNumId w:val="13"/>
  </w:num>
  <w:num w:numId="18" w16cid:durableId="1289241141">
    <w:abstractNumId w:val="5"/>
  </w:num>
  <w:num w:numId="19" w16cid:durableId="1952737521">
    <w:abstractNumId w:val="8"/>
  </w:num>
  <w:num w:numId="20" w16cid:durableId="580913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B0D"/>
    <w:rsid w:val="00000003"/>
    <w:rsid w:val="00016D09"/>
    <w:rsid w:val="0003097A"/>
    <w:rsid w:val="00032D28"/>
    <w:rsid w:val="00051C03"/>
    <w:rsid w:val="000539A2"/>
    <w:rsid w:val="00056FCD"/>
    <w:rsid w:val="000A2C35"/>
    <w:rsid w:val="000C1D1D"/>
    <w:rsid w:val="000F72B1"/>
    <w:rsid w:val="00105216"/>
    <w:rsid w:val="00112217"/>
    <w:rsid w:val="00114734"/>
    <w:rsid w:val="0013568F"/>
    <w:rsid w:val="00142425"/>
    <w:rsid w:val="001531C9"/>
    <w:rsid w:val="001B79F1"/>
    <w:rsid w:val="001D653B"/>
    <w:rsid w:val="001F715E"/>
    <w:rsid w:val="00254066"/>
    <w:rsid w:val="00264311"/>
    <w:rsid w:val="00276751"/>
    <w:rsid w:val="00283971"/>
    <w:rsid w:val="002A4420"/>
    <w:rsid w:val="002A6E8C"/>
    <w:rsid w:val="002B3023"/>
    <w:rsid w:val="002B4734"/>
    <w:rsid w:val="002B474C"/>
    <w:rsid w:val="002B65E5"/>
    <w:rsid w:val="002F42A8"/>
    <w:rsid w:val="00314ADC"/>
    <w:rsid w:val="00321E20"/>
    <w:rsid w:val="0032228A"/>
    <w:rsid w:val="003308FD"/>
    <w:rsid w:val="00331205"/>
    <w:rsid w:val="00337D6A"/>
    <w:rsid w:val="003454B8"/>
    <w:rsid w:val="00352407"/>
    <w:rsid w:val="003A3237"/>
    <w:rsid w:val="003B20B0"/>
    <w:rsid w:val="003B2265"/>
    <w:rsid w:val="003C0E8D"/>
    <w:rsid w:val="003D1654"/>
    <w:rsid w:val="003E4DD4"/>
    <w:rsid w:val="003F77E1"/>
    <w:rsid w:val="004B5048"/>
    <w:rsid w:val="004C2FCF"/>
    <w:rsid w:val="004D0106"/>
    <w:rsid w:val="004D2DC5"/>
    <w:rsid w:val="004D2E32"/>
    <w:rsid w:val="004D3F9A"/>
    <w:rsid w:val="005005B7"/>
    <w:rsid w:val="0051080E"/>
    <w:rsid w:val="00540889"/>
    <w:rsid w:val="005421D2"/>
    <w:rsid w:val="005944F1"/>
    <w:rsid w:val="005A1BD8"/>
    <w:rsid w:val="005F5861"/>
    <w:rsid w:val="0062567B"/>
    <w:rsid w:val="00646622"/>
    <w:rsid w:val="00655A3D"/>
    <w:rsid w:val="0067564D"/>
    <w:rsid w:val="00684458"/>
    <w:rsid w:val="006A420C"/>
    <w:rsid w:val="006B19FC"/>
    <w:rsid w:val="006B7306"/>
    <w:rsid w:val="006D6BB4"/>
    <w:rsid w:val="006F0202"/>
    <w:rsid w:val="006F3327"/>
    <w:rsid w:val="00711FE2"/>
    <w:rsid w:val="0071452F"/>
    <w:rsid w:val="007329D6"/>
    <w:rsid w:val="00735DF5"/>
    <w:rsid w:val="007529FD"/>
    <w:rsid w:val="007541C3"/>
    <w:rsid w:val="00755BCB"/>
    <w:rsid w:val="00771243"/>
    <w:rsid w:val="007755AA"/>
    <w:rsid w:val="007B1224"/>
    <w:rsid w:val="007C241E"/>
    <w:rsid w:val="007C790C"/>
    <w:rsid w:val="007E2518"/>
    <w:rsid w:val="00811814"/>
    <w:rsid w:val="00813400"/>
    <w:rsid w:val="00815329"/>
    <w:rsid w:val="00821877"/>
    <w:rsid w:val="00837A1A"/>
    <w:rsid w:val="00844C11"/>
    <w:rsid w:val="00853275"/>
    <w:rsid w:val="00880D8E"/>
    <w:rsid w:val="00883388"/>
    <w:rsid w:val="008864D4"/>
    <w:rsid w:val="0088773E"/>
    <w:rsid w:val="008A18BC"/>
    <w:rsid w:val="00920B3B"/>
    <w:rsid w:val="00951CDE"/>
    <w:rsid w:val="00956459"/>
    <w:rsid w:val="00960B0D"/>
    <w:rsid w:val="009B7762"/>
    <w:rsid w:val="009D69E5"/>
    <w:rsid w:val="009F7169"/>
    <w:rsid w:val="00A01621"/>
    <w:rsid w:val="00A4315C"/>
    <w:rsid w:val="00A651FC"/>
    <w:rsid w:val="00A87F68"/>
    <w:rsid w:val="00AB62F6"/>
    <w:rsid w:val="00AC4E0B"/>
    <w:rsid w:val="00AD0F93"/>
    <w:rsid w:val="00AE0236"/>
    <w:rsid w:val="00AE62BF"/>
    <w:rsid w:val="00B03330"/>
    <w:rsid w:val="00B07438"/>
    <w:rsid w:val="00B15A68"/>
    <w:rsid w:val="00B21118"/>
    <w:rsid w:val="00B40504"/>
    <w:rsid w:val="00B45BB3"/>
    <w:rsid w:val="00B511CD"/>
    <w:rsid w:val="00B52273"/>
    <w:rsid w:val="00B5739D"/>
    <w:rsid w:val="00B842E7"/>
    <w:rsid w:val="00B9642D"/>
    <w:rsid w:val="00BB1FEB"/>
    <w:rsid w:val="00BC41EA"/>
    <w:rsid w:val="00BC5191"/>
    <w:rsid w:val="00BE6147"/>
    <w:rsid w:val="00BF3F0D"/>
    <w:rsid w:val="00C26D4A"/>
    <w:rsid w:val="00C30969"/>
    <w:rsid w:val="00C95BA9"/>
    <w:rsid w:val="00CC02C7"/>
    <w:rsid w:val="00CD55A3"/>
    <w:rsid w:val="00D27BB8"/>
    <w:rsid w:val="00D373EB"/>
    <w:rsid w:val="00D439B8"/>
    <w:rsid w:val="00D528AF"/>
    <w:rsid w:val="00D80137"/>
    <w:rsid w:val="00D873BD"/>
    <w:rsid w:val="00DA2EC6"/>
    <w:rsid w:val="00DC561F"/>
    <w:rsid w:val="00DE5EB7"/>
    <w:rsid w:val="00E11248"/>
    <w:rsid w:val="00E146C0"/>
    <w:rsid w:val="00E23459"/>
    <w:rsid w:val="00E3566B"/>
    <w:rsid w:val="00E4361A"/>
    <w:rsid w:val="00E47116"/>
    <w:rsid w:val="00E621C1"/>
    <w:rsid w:val="00E662DA"/>
    <w:rsid w:val="00E66741"/>
    <w:rsid w:val="00ED086C"/>
    <w:rsid w:val="00ED56D5"/>
    <w:rsid w:val="00EE6E08"/>
    <w:rsid w:val="00F24916"/>
    <w:rsid w:val="00F25A8B"/>
    <w:rsid w:val="00F301BF"/>
    <w:rsid w:val="00F43291"/>
    <w:rsid w:val="00F61B99"/>
    <w:rsid w:val="00F665E5"/>
    <w:rsid w:val="00F736BB"/>
    <w:rsid w:val="00F82540"/>
    <w:rsid w:val="00F82EA5"/>
    <w:rsid w:val="00F923F7"/>
    <w:rsid w:val="00F94998"/>
    <w:rsid w:val="00FA796E"/>
    <w:rsid w:val="00FC2EA7"/>
    <w:rsid w:val="00FD7724"/>
    <w:rsid w:val="00FE1A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04F6"/>
  <w15:chartTrackingRefBased/>
  <w15:docId w15:val="{959866A3-44B4-49D8-B690-0D67EA71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F43291"/>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4">
    <w:name w:val="heading 4"/>
    <w:basedOn w:val="Normal"/>
    <w:next w:val="Normal"/>
    <w:link w:val="Ttulo4Car"/>
    <w:uiPriority w:val="9"/>
    <w:semiHidden/>
    <w:unhideWhenUsed/>
    <w:qFormat/>
    <w:rsid w:val="00F432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qFormat/>
    <w:rsid w:val="00960B0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72"/>
    <w:qFormat/>
    <w:rsid w:val="00960B0D"/>
    <w:pPr>
      <w:ind w:left="720"/>
      <w:contextualSpacing/>
    </w:pPr>
  </w:style>
  <w:style w:type="character" w:customStyle="1" w:styleId="Ttulo2Car">
    <w:name w:val="Título 2 Car"/>
    <w:basedOn w:val="Fuentedeprrafopredeter"/>
    <w:link w:val="Ttulo2"/>
    <w:uiPriority w:val="9"/>
    <w:rsid w:val="00F43291"/>
    <w:rPr>
      <w:rFonts w:ascii="Times New Roman" w:eastAsia="Times New Roman" w:hAnsi="Times New Roman" w:cs="Times New Roman"/>
      <w:b/>
      <w:bCs/>
      <w:sz w:val="36"/>
      <w:szCs w:val="36"/>
      <w:lang w:eastAsia="es-CO"/>
    </w:rPr>
  </w:style>
  <w:style w:type="character" w:customStyle="1" w:styleId="Ttulo4Car">
    <w:name w:val="Título 4 Car"/>
    <w:basedOn w:val="Fuentedeprrafopredeter"/>
    <w:link w:val="Ttulo4"/>
    <w:uiPriority w:val="9"/>
    <w:semiHidden/>
    <w:rsid w:val="00F43291"/>
    <w:rPr>
      <w:rFonts w:asciiTheme="majorHAnsi" w:eastAsiaTheme="majorEastAsia" w:hAnsiTheme="majorHAnsi" w:cstheme="majorBidi"/>
      <w:i/>
      <w:iCs/>
      <w:color w:val="2E74B5" w:themeColor="accent1" w:themeShade="BF"/>
    </w:rPr>
  </w:style>
  <w:style w:type="character" w:styleId="Hipervnculo">
    <w:name w:val="Hyperlink"/>
    <w:basedOn w:val="Fuentedeprrafopredeter"/>
    <w:uiPriority w:val="99"/>
    <w:unhideWhenUsed/>
    <w:rsid w:val="004D2E32"/>
    <w:rPr>
      <w:color w:val="0000FF"/>
      <w:u w:val="single"/>
    </w:rPr>
  </w:style>
  <w:style w:type="paragraph" w:customStyle="1" w:styleId="Default">
    <w:name w:val="Default"/>
    <w:rsid w:val="004D2E32"/>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AC4E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C4E0B"/>
    <w:rPr>
      <w:sz w:val="20"/>
      <w:szCs w:val="20"/>
    </w:rPr>
  </w:style>
  <w:style w:type="character" w:styleId="Refdenotaalpie">
    <w:name w:val="footnote reference"/>
    <w:basedOn w:val="Fuentedeprrafopredeter"/>
    <w:uiPriority w:val="99"/>
    <w:semiHidden/>
    <w:unhideWhenUsed/>
    <w:rsid w:val="00AC4E0B"/>
    <w:rPr>
      <w:vertAlign w:val="superscript"/>
    </w:rPr>
  </w:style>
  <w:style w:type="paragraph" w:customStyle="1" w:styleId="xmsonormal">
    <w:name w:val="x_msonormal"/>
    <w:basedOn w:val="Normal"/>
    <w:uiPriority w:val="99"/>
    <w:rsid w:val="00C26D4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contentpasted0">
    <w:name w:val="x_contentpasted0"/>
    <w:basedOn w:val="Fuentedeprrafopredeter"/>
    <w:rsid w:val="00C26D4A"/>
  </w:style>
  <w:style w:type="character" w:styleId="nfasis">
    <w:name w:val="Emphasis"/>
    <w:basedOn w:val="Fuentedeprrafopredeter"/>
    <w:uiPriority w:val="20"/>
    <w:qFormat/>
    <w:rsid w:val="00AD0F93"/>
    <w:rPr>
      <w:i/>
      <w:iC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72"/>
    <w:qFormat/>
    <w:locked/>
    <w:rsid w:val="00AD0F93"/>
  </w:style>
  <w:style w:type="character" w:styleId="Fuerte">
    <w:name w:val="Strong"/>
    <w:basedOn w:val="Fuentedeprrafopredeter"/>
    <w:uiPriority w:val="22"/>
    <w:qFormat/>
    <w:rsid w:val="00B21118"/>
    <w:rPr>
      <w:b/>
      <w:bCs/>
    </w:rPr>
  </w:style>
  <w:style w:type="character" w:customStyle="1" w:styleId="normaltextrun">
    <w:name w:val="normaltextrun"/>
    <w:basedOn w:val="Fuentedeprrafopredeter"/>
    <w:rsid w:val="00C30969"/>
  </w:style>
  <w:style w:type="paragraph" w:customStyle="1" w:styleId="Sinespaciado1">
    <w:name w:val="Sin espaciado1"/>
    <w:uiPriority w:val="99"/>
    <w:qFormat/>
    <w:rsid w:val="00C30969"/>
    <w:pPr>
      <w:suppressAutoHyphens/>
      <w:spacing w:after="0" w:line="240" w:lineRule="auto"/>
    </w:pPr>
    <w:rPr>
      <w:rFonts w:ascii="Calibri" w:eastAsia="Calibri" w:hAnsi="Calibri" w:cs="font424"/>
      <w:color w:val="00000A"/>
      <w:kern w:val="2"/>
    </w:rPr>
  </w:style>
  <w:style w:type="table" w:styleId="Tablaconcuadrcula">
    <w:name w:val="Table Grid"/>
    <w:basedOn w:val="Tablanormal"/>
    <w:uiPriority w:val="39"/>
    <w:rsid w:val="00C309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a">
    <w:name w:val="cuerpoa"/>
    <w:basedOn w:val="Normal"/>
    <w:rsid w:val="00837A1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inguno">
    <w:name w:val="ninguno"/>
    <w:basedOn w:val="Fuentedeprrafopredeter"/>
    <w:rsid w:val="00837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345">
      <w:bodyDiv w:val="1"/>
      <w:marLeft w:val="0"/>
      <w:marRight w:val="0"/>
      <w:marTop w:val="0"/>
      <w:marBottom w:val="0"/>
      <w:divBdr>
        <w:top w:val="none" w:sz="0" w:space="0" w:color="auto"/>
        <w:left w:val="none" w:sz="0" w:space="0" w:color="auto"/>
        <w:bottom w:val="none" w:sz="0" w:space="0" w:color="auto"/>
        <w:right w:val="none" w:sz="0" w:space="0" w:color="auto"/>
      </w:divBdr>
    </w:div>
    <w:div w:id="92554758">
      <w:bodyDiv w:val="1"/>
      <w:marLeft w:val="0"/>
      <w:marRight w:val="0"/>
      <w:marTop w:val="0"/>
      <w:marBottom w:val="0"/>
      <w:divBdr>
        <w:top w:val="none" w:sz="0" w:space="0" w:color="auto"/>
        <w:left w:val="none" w:sz="0" w:space="0" w:color="auto"/>
        <w:bottom w:val="none" w:sz="0" w:space="0" w:color="auto"/>
        <w:right w:val="none" w:sz="0" w:space="0" w:color="auto"/>
      </w:divBdr>
    </w:div>
    <w:div w:id="200676807">
      <w:bodyDiv w:val="1"/>
      <w:marLeft w:val="0"/>
      <w:marRight w:val="0"/>
      <w:marTop w:val="0"/>
      <w:marBottom w:val="0"/>
      <w:divBdr>
        <w:top w:val="none" w:sz="0" w:space="0" w:color="auto"/>
        <w:left w:val="none" w:sz="0" w:space="0" w:color="auto"/>
        <w:bottom w:val="none" w:sz="0" w:space="0" w:color="auto"/>
        <w:right w:val="none" w:sz="0" w:space="0" w:color="auto"/>
      </w:divBdr>
    </w:div>
    <w:div w:id="258375211">
      <w:bodyDiv w:val="1"/>
      <w:marLeft w:val="0"/>
      <w:marRight w:val="0"/>
      <w:marTop w:val="0"/>
      <w:marBottom w:val="0"/>
      <w:divBdr>
        <w:top w:val="none" w:sz="0" w:space="0" w:color="auto"/>
        <w:left w:val="none" w:sz="0" w:space="0" w:color="auto"/>
        <w:bottom w:val="none" w:sz="0" w:space="0" w:color="auto"/>
        <w:right w:val="none" w:sz="0" w:space="0" w:color="auto"/>
      </w:divBdr>
    </w:div>
    <w:div w:id="388919120">
      <w:bodyDiv w:val="1"/>
      <w:marLeft w:val="0"/>
      <w:marRight w:val="0"/>
      <w:marTop w:val="0"/>
      <w:marBottom w:val="0"/>
      <w:divBdr>
        <w:top w:val="none" w:sz="0" w:space="0" w:color="auto"/>
        <w:left w:val="none" w:sz="0" w:space="0" w:color="auto"/>
        <w:bottom w:val="none" w:sz="0" w:space="0" w:color="auto"/>
        <w:right w:val="none" w:sz="0" w:space="0" w:color="auto"/>
      </w:divBdr>
    </w:div>
    <w:div w:id="404836465">
      <w:bodyDiv w:val="1"/>
      <w:marLeft w:val="0"/>
      <w:marRight w:val="0"/>
      <w:marTop w:val="0"/>
      <w:marBottom w:val="0"/>
      <w:divBdr>
        <w:top w:val="none" w:sz="0" w:space="0" w:color="auto"/>
        <w:left w:val="none" w:sz="0" w:space="0" w:color="auto"/>
        <w:bottom w:val="none" w:sz="0" w:space="0" w:color="auto"/>
        <w:right w:val="none" w:sz="0" w:space="0" w:color="auto"/>
      </w:divBdr>
    </w:div>
    <w:div w:id="442264983">
      <w:bodyDiv w:val="1"/>
      <w:marLeft w:val="0"/>
      <w:marRight w:val="0"/>
      <w:marTop w:val="0"/>
      <w:marBottom w:val="0"/>
      <w:divBdr>
        <w:top w:val="none" w:sz="0" w:space="0" w:color="auto"/>
        <w:left w:val="none" w:sz="0" w:space="0" w:color="auto"/>
        <w:bottom w:val="none" w:sz="0" w:space="0" w:color="auto"/>
        <w:right w:val="none" w:sz="0" w:space="0" w:color="auto"/>
      </w:divBdr>
    </w:div>
    <w:div w:id="569972297">
      <w:bodyDiv w:val="1"/>
      <w:marLeft w:val="0"/>
      <w:marRight w:val="0"/>
      <w:marTop w:val="0"/>
      <w:marBottom w:val="0"/>
      <w:divBdr>
        <w:top w:val="none" w:sz="0" w:space="0" w:color="auto"/>
        <w:left w:val="none" w:sz="0" w:space="0" w:color="auto"/>
        <w:bottom w:val="none" w:sz="0" w:space="0" w:color="auto"/>
        <w:right w:val="none" w:sz="0" w:space="0" w:color="auto"/>
      </w:divBdr>
    </w:div>
    <w:div w:id="719282614">
      <w:bodyDiv w:val="1"/>
      <w:marLeft w:val="0"/>
      <w:marRight w:val="0"/>
      <w:marTop w:val="0"/>
      <w:marBottom w:val="0"/>
      <w:divBdr>
        <w:top w:val="none" w:sz="0" w:space="0" w:color="auto"/>
        <w:left w:val="none" w:sz="0" w:space="0" w:color="auto"/>
        <w:bottom w:val="none" w:sz="0" w:space="0" w:color="auto"/>
        <w:right w:val="none" w:sz="0" w:space="0" w:color="auto"/>
      </w:divBdr>
    </w:div>
    <w:div w:id="734474081">
      <w:bodyDiv w:val="1"/>
      <w:marLeft w:val="0"/>
      <w:marRight w:val="0"/>
      <w:marTop w:val="0"/>
      <w:marBottom w:val="0"/>
      <w:divBdr>
        <w:top w:val="none" w:sz="0" w:space="0" w:color="auto"/>
        <w:left w:val="none" w:sz="0" w:space="0" w:color="auto"/>
        <w:bottom w:val="none" w:sz="0" w:space="0" w:color="auto"/>
        <w:right w:val="none" w:sz="0" w:space="0" w:color="auto"/>
      </w:divBdr>
    </w:div>
    <w:div w:id="799223133">
      <w:bodyDiv w:val="1"/>
      <w:marLeft w:val="0"/>
      <w:marRight w:val="0"/>
      <w:marTop w:val="0"/>
      <w:marBottom w:val="0"/>
      <w:divBdr>
        <w:top w:val="none" w:sz="0" w:space="0" w:color="auto"/>
        <w:left w:val="none" w:sz="0" w:space="0" w:color="auto"/>
        <w:bottom w:val="none" w:sz="0" w:space="0" w:color="auto"/>
        <w:right w:val="none" w:sz="0" w:space="0" w:color="auto"/>
      </w:divBdr>
    </w:div>
    <w:div w:id="1000886465">
      <w:bodyDiv w:val="1"/>
      <w:marLeft w:val="0"/>
      <w:marRight w:val="0"/>
      <w:marTop w:val="0"/>
      <w:marBottom w:val="0"/>
      <w:divBdr>
        <w:top w:val="none" w:sz="0" w:space="0" w:color="auto"/>
        <w:left w:val="none" w:sz="0" w:space="0" w:color="auto"/>
        <w:bottom w:val="none" w:sz="0" w:space="0" w:color="auto"/>
        <w:right w:val="none" w:sz="0" w:space="0" w:color="auto"/>
      </w:divBdr>
    </w:div>
    <w:div w:id="1056853735">
      <w:bodyDiv w:val="1"/>
      <w:marLeft w:val="0"/>
      <w:marRight w:val="0"/>
      <w:marTop w:val="0"/>
      <w:marBottom w:val="0"/>
      <w:divBdr>
        <w:top w:val="none" w:sz="0" w:space="0" w:color="auto"/>
        <w:left w:val="none" w:sz="0" w:space="0" w:color="auto"/>
        <w:bottom w:val="none" w:sz="0" w:space="0" w:color="auto"/>
        <w:right w:val="none" w:sz="0" w:space="0" w:color="auto"/>
      </w:divBdr>
    </w:div>
    <w:div w:id="1171262712">
      <w:bodyDiv w:val="1"/>
      <w:marLeft w:val="0"/>
      <w:marRight w:val="0"/>
      <w:marTop w:val="0"/>
      <w:marBottom w:val="0"/>
      <w:divBdr>
        <w:top w:val="none" w:sz="0" w:space="0" w:color="auto"/>
        <w:left w:val="none" w:sz="0" w:space="0" w:color="auto"/>
        <w:bottom w:val="none" w:sz="0" w:space="0" w:color="auto"/>
        <w:right w:val="none" w:sz="0" w:space="0" w:color="auto"/>
      </w:divBdr>
    </w:div>
    <w:div w:id="1209754871">
      <w:bodyDiv w:val="1"/>
      <w:marLeft w:val="0"/>
      <w:marRight w:val="0"/>
      <w:marTop w:val="0"/>
      <w:marBottom w:val="0"/>
      <w:divBdr>
        <w:top w:val="none" w:sz="0" w:space="0" w:color="auto"/>
        <w:left w:val="none" w:sz="0" w:space="0" w:color="auto"/>
        <w:bottom w:val="none" w:sz="0" w:space="0" w:color="auto"/>
        <w:right w:val="none" w:sz="0" w:space="0" w:color="auto"/>
      </w:divBdr>
    </w:div>
    <w:div w:id="1398671148">
      <w:bodyDiv w:val="1"/>
      <w:marLeft w:val="0"/>
      <w:marRight w:val="0"/>
      <w:marTop w:val="0"/>
      <w:marBottom w:val="0"/>
      <w:divBdr>
        <w:top w:val="none" w:sz="0" w:space="0" w:color="auto"/>
        <w:left w:val="none" w:sz="0" w:space="0" w:color="auto"/>
        <w:bottom w:val="none" w:sz="0" w:space="0" w:color="auto"/>
        <w:right w:val="none" w:sz="0" w:space="0" w:color="auto"/>
      </w:divBdr>
    </w:div>
    <w:div w:id="1435130070">
      <w:bodyDiv w:val="1"/>
      <w:marLeft w:val="0"/>
      <w:marRight w:val="0"/>
      <w:marTop w:val="0"/>
      <w:marBottom w:val="0"/>
      <w:divBdr>
        <w:top w:val="none" w:sz="0" w:space="0" w:color="auto"/>
        <w:left w:val="none" w:sz="0" w:space="0" w:color="auto"/>
        <w:bottom w:val="none" w:sz="0" w:space="0" w:color="auto"/>
        <w:right w:val="none" w:sz="0" w:space="0" w:color="auto"/>
      </w:divBdr>
    </w:div>
    <w:div w:id="1456362074">
      <w:bodyDiv w:val="1"/>
      <w:marLeft w:val="0"/>
      <w:marRight w:val="0"/>
      <w:marTop w:val="0"/>
      <w:marBottom w:val="0"/>
      <w:divBdr>
        <w:top w:val="none" w:sz="0" w:space="0" w:color="auto"/>
        <w:left w:val="none" w:sz="0" w:space="0" w:color="auto"/>
        <w:bottom w:val="none" w:sz="0" w:space="0" w:color="auto"/>
        <w:right w:val="none" w:sz="0" w:space="0" w:color="auto"/>
      </w:divBdr>
    </w:div>
    <w:div w:id="1505633129">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32499691">
      <w:bodyDiv w:val="1"/>
      <w:marLeft w:val="0"/>
      <w:marRight w:val="0"/>
      <w:marTop w:val="0"/>
      <w:marBottom w:val="0"/>
      <w:divBdr>
        <w:top w:val="none" w:sz="0" w:space="0" w:color="auto"/>
        <w:left w:val="none" w:sz="0" w:space="0" w:color="auto"/>
        <w:bottom w:val="none" w:sz="0" w:space="0" w:color="auto"/>
        <w:right w:val="none" w:sz="0" w:space="0" w:color="auto"/>
      </w:divBdr>
    </w:div>
    <w:div w:id="1559168324">
      <w:bodyDiv w:val="1"/>
      <w:marLeft w:val="0"/>
      <w:marRight w:val="0"/>
      <w:marTop w:val="0"/>
      <w:marBottom w:val="0"/>
      <w:divBdr>
        <w:top w:val="none" w:sz="0" w:space="0" w:color="auto"/>
        <w:left w:val="none" w:sz="0" w:space="0" w:color="auto"/>
        <w:bottom w:val="none" w:sz="0" w:space="0" w:color="auto"/>
        <w:right w:val="none" w:sz="0" w:space="0" w:color="auto"/>
      </w:divBdr>
    </w:div>
    <w:div w:id="1572039587">
      <w:bodyDiv w:val="1"/>
      <w:marLeft w:val="0"/>
      <w:marRight w:val="0"/>
      <w:marTop w:val="0"/>
      <w:marBottom w:val="0"/>
      <w:divBdr>
        <w:top w:val="none" w:sz="0" w:space="0" w:color="auto"/>
        <w:left w:val="none" w:sz="0" w:space="0" w:color="auto"/>
        <w:bottom w:val="none" w:sz="0" w:space="0" w:color="auto"/>
        <w:right w:val="none" w:sz="0" w:space="0" w:color="auto"/>
      </w:divBdr>
    </w:div>
    <w:div w:id="1583026297">
      <w:bodyDiv w:val="1"/>
      <w:marLeft w:val="0"/>
      <w:marRight w:val="0"/>
      <w:marTop w:val="0"/>
      <w:marBottom w:val="0"/>
      <w:divBdr>
        <w:top w:val="none" w:sz="0" w:space="0" w:color="auto"/>
        <w:left w:val="none" w:sz="0" w:space="0" w:color="auto"/>
        <w:bottom w:val="none" w:sz="0" w:space="0" w:color="auto"/>
        <w:right w:val="none" w:sz="0" w:space="0" w:color="auto"/>
      </w:divBdr>
    </w:div>
    <w:div w:id="1592229436">
      <w:bodyDiv w:val="1"/>
      <w:marLeft w:val="0"/>
      <w:marRight w:val="0"/>
      <w:marTop w:val="0"/>
      <w:marBottom w:val="0"/>
      <w:divBdr>
        <w:top w:val="none" w:sz="0" w:space="0" w:color="auto"/>
        <w:left w:val="none" w:sz="0" w:space="0" w:color="auto"/>
        <w:bottom w:val="none" w:sz="0" w:space="0" w:color="auto"/>
        <w:right w:val="none" w:sz="0" w:space="0" w:color="auto"/>
      </w:divBdr>
    </w:div>
    <w:div w:id="1771662702">
      <w:bodyDiv w:val="1"/>
      <w:marLeft w:val="0"/>
      <w:marRight w:val="0"/>
      <w:marTop w:val="0"/>
      <w:marBottom w:val="0"/>
      <w:divBdr>
        <w:top w:val="none" w:sz="0" w:space="0" w:color="auto"/>
        <w:left w:val="none" w:sz="0" w:space="0" w:color="auto"/>
        <w:bottom w:val="none" w:sz="0" w:space="0" w:color="auto"/>
        <w:right w:val="none" w:sz="0" w:space="0" w:color="auto"/>
      </w:divBdr>
    </w:div>
    <w:div w:id="1844204404">
      <w:bodyDiv w:val="1"/>
      <w:marLeft w:val="0"/>
      <w:marRight w:val="0"/>
      <w:marTop w:val="0"/>
      <w:marBottom w:val="0"/>
      <w:divBdr>
        <w:top w:val="none" w:sz="0" w:space="0" w:color="auto"/>
        <w:left w:val="none" w:sz="0" w:space="0" w:color="auto"/>
        <w:bottom w:val="none" w:sz="0" w:space="0" w:color="auto"/>
        <w:right w:val="none" w:sz="0" w:space="0" w:color="auto"/>
      </w:divBdr>
    </w:div>
    <w:div w:id="1902205588">
      <w:bodyDiv w:val="1"/>
      <w:marLeft w:val="0"/>
      <w:marRight w:val="0"/>
      <w:marTop w:val="0"/>
      <w:marBottom w:val="0"/>
      <w:divBdr>
        <w:top w:val="none" w:sz="0" w:space="0" w:color="auto"/>
        <w:left w:val="none" w:sz="0" w:space="0" w:color="auto"/>
        <w:bottom w:val="none" w:sz="0" w:space="0" w:color="auto"/>
        <w:right w:val="none" w:sz="0" w:space="0" w:color="auto"/>
      </w:divBdr>
    </w:div>
    <w:div w:id="1905023964">
      <w:bodyDiv w:val="1"/>
      <w:marLeft w:val="0"/>
      <w:marRight w:val="0"/>
      <w:marTop w:val="0"/>
      <w:marBottom w:val="0"/>
      <w:divBdr>
        <w:top w:val="none" w:sz="0" w:space="0" w:color="auto"/>
        <w:left w:val="none" w:sz="0" w:space="0" w:color="auto"/>
        <w:bottom w:val="none" w:sz="0" w:space="0" w:color="auto"/>
        <w:right w:val="none" w:sz="0" w:space="0" w:color="auto"/>
      </w:divBdr>
    </w:div>
    <w:div w:id="203739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82F33-FFBB-4C99-B5A7-628FA595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3608</Words>
  <Characters>19848</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Alexander, Estepa Becerra</dc:creator>
  <cp:keywords/>
  <dc:description/>
  <cp:lastModifiedBy>Sonia Gigliola, Corchuelo Parra</cp:lastModifiedBy>
  <cp:revision>2</cp:revision>
  <dcterms:created xsi:type="dcterms:W3CDTF">2026-05-12T00:50:00Z</dcterms:created>
  <dcterms:modified xsi:type="dcterms:W3CDTF">2026-05-12T00:50:00Z</dcterms:modified>
</cp:coreProperties>
</file>